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F3" w:rsidRPr="00876AF3" w:rsidRDefault="00876AF3" w:rsidP="00876AF3">
      <w:pPr>
        <w:jc w:val="center"/>
        <w:rPr>
          <w:b/>
          <w:sz w:val="22"/>
          <w:szCs w:val="22"/>
        </w:rPr>
      </w:pPr>
      <w:r w:rsidRPr="00876AF3">
        <w:rPr>
          <w:b/>
          <w:sz w:val="22"/>
          <w:szCs w:val="22"/>
        </w:rPr>
        <w:t xml:space="preserve">Iepirkuma </w:t>
      </w:r>
    </w:p>
    <w:p w:rsidR="00074A28" w:rsidRPr="00074A28" w:rsidRDefault="00074A28" w:rsidP="00074A28">
      <w:pPr>
        <w:jc w:val="center"/>
        <w:rPr>
          <w:b/>
          <w:sz w:val="22"/>
          <w:szCs w:val="22"/>
        </w:rPr>
      </w:pPr>
      <w:r>
        <w:rPr>
          <w:b/>
          <w:sz w:val="22"/>
          <w:szCs w:val="22"/>
        </w:rPr>
        <w:t>“</w:t>
      </w:r>
      <w:r w:rsidR="00CB27E3" w:rsidRPr="00CB27E3">
        <w:rPr>
          <w:b/>
          <w:sz w:val="22"/>
          <w:szCs w:val="22"/>
        </w:rPr>
        <w:t>Mācību procesa nodrošināšanai nepieciešamā 3D printera piegāde</w:t>
      </w:r>
      <w:r w:rsidRPr="00074A28">
        <w:rPr>
          <w:b/>
          <w:sz w:val="22"/>
          <w:szCs w:val="22"/>
        </w:rPr>
        <w:t>”</w:t>
      </w:r>
    </w:p>
    <w:p w:rsidR="00876AF3" w:rsidRDefault="00074A28" w:rsidP="00074A28">
      <w:pPr>
        <w:jc w:val="center"/>
        <w:rPr>
          <w:b/>
          <w:sz w:val="22"/>
          <w:szCs w:val="22"/>
        </w:rPr>
      </w:pPr>
      <w:r w:rsidRPr="00074A28">
        <w:rPr>
          <w:b/>
          <w:sz w:val="22"/>
          <w:szCs w:val="22"/>
        </w:rPr>
        <w:t>iepirkuma identifikācijas Nr. JT 2015/</w:t>
      </w:r>
      <w:r w:rsidR="00CB27E3">
        <w:rPr>
          <w:b/>
          <w:sz w:val="22"/>
          <w:szCs w:val="22"/>
        </w:rPr>
        <w:t>23</w:t>
      </w:r>
    </w:p>
    <w:p w:rsidR="007B477F" w:rsidRPr="00A70AA6" w:rsidRDefault="007B477F" w:rsidP="007B477F">
      <w:pPr>
        <w:jc w:val="center"/>
        <w:rPr>
          <w:b/>
        </w:rPr>
      </w:pPr>
    </w:p>
    <w:p w:rsidR="007068E2" w:rsidRDefault="00595E70" w:rsidP="00AD0A54">
      <w:pPr>
        <w:jc w:val="center"/>
        <w:rPr>
          <w:b/>
        </w:rPr>
      </w:pPr>
      <w:r w:rsidRPr="00A70AA6">
        <w:rPr>
          <w:b/>
        </w:rPr>
        <w:t xml:space="preserve"> </w:t>
      </w:r>
      <w:r w:rsidR="00467633" w:rsidRPr="00A70AA6">
        <w:rPr>
          <w:b/>
        </w:rPr>
        <w:t>Ziņojums</w:t>
      </w:r>
    </w:p>
    <w:p w:rsidR="006D647B" w:rsidRPr="00A70AA6" w:rsidRDefault="006D647B" w:rsidP="00AD0A54">
      <w:pPr>
        <w:jc w:val="center"/>
        <w:rPr>
          <w:b/>
        </w:rPr>
      </w:pPr>
    </w:p>
    <w:p w:rsidR="007B477F" w:rsidRDefault="007B477F" w:rsidP="00AD0A54">
      <w:pPr>
        <w:jc w:val="both"/>
      </w:pPr>
    </w:p>
    <w:p w:rsidR="00074A28" w:rsidRPr="00A70AA6" w:rsidRDefault="00D47803" w:rsidP="00AD0A54">
      <w:pPr>
        <w:jc w:val="both"/>
      </w:pPr>
      <w:r w:rsidRPr="00A70AA6">
        <w:t>201</w:t>
      </w:r>
      <w:r w:rsidR="00247E93">
        <w:t>5</w:t>
      </w:r>
      <w:r w:rsidRPr="00A70AA6">
        <w:t xml:space="preserve">.gada </w:t>
      </w:r>
      <w:bookmarkStart w:id="0" w:name="_GoBack"/>
      <w:bookmarkEnd w:id="0"/>
      <w:r w:rsidR="00CB27E3">
        <w:t>08.oktobrī</w:t>
      </w:r>
    </w:p>
    <w:p w:rsidR="007068E2" w:rsidRPr="00A70AA6" w:rsidRDefault="007068E2" w:rsidP="00AD0A54">
      <w:pPr>
        <w:jc w:val="both"/>
      </w:pPr>
    </w:p>
    <w:p w:rsidR="007B477F" w:rsidRPr="007B477F" w:rsidRDefault="007B477F" w:rsidP="007B477F">
      <w:pPr>
        <w:jc w:val="both"/>
      </w:pPr>
      <w:r w:rsidRPr="007B477F">
        <w:rPr>
          <w:b/>
          <w:u w:val="single"/>
        </w:rPr>
        <w:t>Pasūtītājs</w:t>
      </w:r>
      <w:r w:rsidRPr="007B477F">
        <w:t>: Jelgavas Tehnikums, Pulkveža Oskara Kalpaka iela 37, Jelgava</w:t>
      </w:r>
    </w:p>
    <w:p w:rsidR="00074A28" w:rsidRPr="00581EAA" w:rsidRDefault="00074A28" w:rsidP="00074A28">
      <w:pPr>
        <w:jc w:val="both"/>
        <w:rPr>
          <w:rFonts w:cs="Arial"/>
          <w:bCs/>
        </w:rPr>
      </w:pPr>
      <w:r w:rsidRPr="00581EAA">
        <w:rPr>
          <w:b/>
          <w:u w:val="single"/>
        </w:rPr>
        <w:t>Iepirkuma priekšmets</w:t>
      </w:r>
      <w:r w:rsidRPr="00581EAA">
        <w:t xml:space="preserve">: </w:t>
      </w:r>
      <w:r w:rsidR="00CB27E3" w:rsidRPr="00CB27E3">
        <w:rPr>
          <w:rFonts w:cs="Arial"/>
          <w:bCs/>
        </w:rPr>
        <w:t>Mācību procesa nodrošināšanai nepieciešamā 3D printera piegāde</w:t>
      </w:r>
    </w:p>
    <w:p w:rsidR="00074A28" w:rsidRPr="00581EAA" w:rsidRDefault="00074A28" w:rsidP="00074A28">
      <w:pPr>
        <w:jc w:val="both"/>
      </w:pPr>
      <w:r w:rsidRPr="00581EAA">
        <w:rPr>
          <w:b/>
          <w:u w:val="single"/>
        </w:rPr>
        <w:t>Iepirkuma metode un identifikācijas numurs:</w:t>
      </w:r>
      <w:r w:rsidRPr="00581EAA">
        <w:t xml:space="preserve"> </w:t>
      </w:r>
      <w:r>
        <w:t>iepirkums, kas organizēts saskaņā ar Publisko iepirkumu likuma 8.</w:t>
      </w:r>
      <w:r w:rsidRPr="00C55D56">
        <w:rPr>
          <w:vertAlign w:val="superscript"/>
        </w:rPr>
        <w:t>2</w:t>
      </w:r>
      <w:r>
        <w:t xml:space="preserve"> pantu</w:t>
      </w:r>
      <w:r w:rsidRPr="00581EAA">
        <w:t xml:space="preserve">, iepirkuma identifikācijas Nr. </w:t>
      </w:r>
      <w:r w:rsidRPr="00581EAA">
        <w:rPr>
          <w:bCs/>
        </w:rPr>
        <w:t>JT 201</w:t>
      </w:r>
      <w:r>
        <w:rPr>
          <w:bCs/>
        </w:rPr>
        <w:t>5/</w:t>
      </w:r>
      <w:r w:rsidR="006D647B">
        <w:rPr>
          <w:bCs/>
        </w:rPr>
        <w:t>2</w:t>
      </w:r>
      <w:r w:rsidR="00CB27E3">
        <w:rPr>
          <w:bCs/>
        </w:rPr>
        <w:t>3</w:t>
      </w:r>
      <w:r w:rsidRPr="00581EAA">
        <w:t>.</w:t>
      </w:r>
    </w:p>
    <w:p w:rsidR="00CB27E3" w:rsidRPr="00CB27E3" w:rsidRDefault="00074A28" w:rsidP="00CB27E3">
      <w:pPr>
        <w:jc w:val="both"/>
      </w:pPr>
      <w:r w:rsidRPr="00581EAA">
        <w:rPr>
          <w:b/>
          <w:u w:val="single"/>
        </w:rPr>
        <w:t>Iepirkuma komisija</w:t>
      </w:r>
      <w:r w:rsidRPr="00581EAA">
        <w:t xml:space="preserve">: </w:t>
      </w:r>
      <w:r w:rsidR="00CB27E3" w:rsidRPr="00CB27E3">
        <w:t>Izveidota pamatojoties uz Jelgavas Tehnikuma direktores Janīnas Rudzītes 2012.gada 22.oktobra rīkojumu Nr.1-8/420.</w:t>
      </w:r>
    </w:p>
    <w:p w:rsidR="00CB27E3" w:rsidRPr="00CB27E3" w:rsidRDefault="00CB27E3" w:rsidP="00CB27E3">
      <w:pPr>
        <w:jc w:val="both"/>
      </w:pPr>
      <w:r w:rsidRPr="00CB27E3">
        <w:t>Komisijas sastāvs:</w:t>
      </w:r>
    </w:p>
    <w:p w:rsidR="00CB27E3" w:rsidRPr="00CB27E3" w:rsidRDefault="00CB27E3" w:rsidP="00CB27E3">
      <w:pPr>
        <w:jc w:val="both"/>
      </w:pPr>
      <w:r w:rsidRPr="00CB27E3">
        <w:rPr>
          <w:lang w:val="x-none"/>
        </w:rPr>
        <w:t xml:space="preserve">Komisijas priekšsēdētāja: </w:t>
      </w:r>
      <w:r w:rsidRPr="00CB27E3">
        <w:t>Janīna Rudzīte</w:t>
      </w:r>
      <w:r w:rsidRPr="00CB27E3">
        <w:rPr>
          <w:lang w:val="x-none"/>
        </w:rPr>
        <w:t>;</w:t>
      </w:r>
    </w:p>
    <w:p w:rsidR="00CB27E3" w:rsidRPr="00CB27E3" w:rsidRDefault="00CB27E3" w:rsidP="00CB27E3">
      <w:pPr>
        <w:jc w:val="both"/>
        <w:rPr>
          <w:lang w:val="x-none"/>
        </w:rPr>
      </w:pPr>
      <w:r w:rsidRPr="00CB27E3">
        <w:rPr>
          <w:lang w:val="x-none"/>
        </w:rPr>
        <w:t>Komisijas priekšsēdētāja vietnieks: Uldis Sokolovs;</w:t>
      </w:r>
    </w:p>
    <w:p w:rsidR="00CB27E3" w:rsidRPr="00CB27E3" w:rsidRDefault="00CB27E3" w:rsidP="00CB27E3">
      <w:pPr>
        <w:jc w:val="both"/>
        <w:rPr>
          <w:lang w:val="x-none"/>
        </w:rPr>
      </w:pPr>
      <w:r w:rsidRPr="00CB27E3">
        <w:rPr>
          <w:lang w:val="x-none"/>
        </w:rPr>
        <w:t>Komisijas locekļi:</w:t>
      </w:r>
    </w:p>
    <w:p w:rsidR="00CB27E3" w:rsidRPr="00CB27E3" w:rsidRDefault="00CB27E3" w:rsidP="00CB27E3">
      <w:pPr>
        <w:jc w:val="both"/>
        <w:rPr>
          <w:lang w:val="x-none"/>
        </w:rPr>
      </w:pPr>
      <w:r w:rsidRPr="00CB27E3">
        <w:rPr>
          <w:lang w:val="x-none"/>
        </w:rPr>
        <w:t>Normunds Osīts;</w:t>
      </w:r>
    </w:p>
    <w:p w:rsidR="00CB27E3" w:rsidRPr="00CB27E3" w:rsidRDefault="00CB27E3" w:rsidP="00CB27E3">
      <w:pPr>
        <w:jc w:val="both"/>
        <w:rPr>
          <w:lang w:val="x-none"/>
        </w:rPr>
      </w:pPr>
      <w:r w:rsidRPr="00CB27E3">
        <w:rPr>
          <w:lang w:val="x-none"/>
        </w:rPr>
        <w:t>Anna Černaja;</w:t>
      </w:r>
    </w:p>
    <w:p w:rsidR="00CB27E3" w:rsidRPr="00CB27E3" w:rsidRDefault="00CB27E3" w:rsidP="00CB27E3">
      <w:pPr>
        <w:jc w:val="both"/>
      </w:pPr>
      <w:r w:rsidRPr="00CB27E3">
        <w:t>Skaidrīte Antone</w:t>
      </w:r>
      <w:r w:rsidRPr="00CB27E3">
        <w:rPr>
          <w:lang w:val="x-none"/>
        </w:rPr>
        <w:t>.</w:t>
      </w:r>
    </w:p>
    <w:p w:rsidR="00CB27E3" w:rsidRDefault="00CB27E3" w:rsidP="00CB27E3">
      <w:pPr>
        <w:jc w:val="both"/>
        <w:rPr>
          <w:b/>
          <w:u w:val="single"/>
        </w:rPr>
      </w:pPr>
    </w:p>
    <w:p w:rsidR="00467633" w:rsidRPr="00A70AA6" w:rsidRDefault="00467633" w:rsidP="00CB27E3">
      <w:pPr>
        <w:jc w:val="both"/>
      </w:pPr>
      <w:r w:rsidRPr="00A70AA6">
        <w:rPr>
          <w:b/>
          <w:u w:val="single"/>
        </w:rPr>
        <w:t>Pretendentiem noteiktās prasības:</w:t>
      </w:r>
      <w:r w:rsidRPr="00A70AA6">
        <w:t xml:space="preserve"> noteiktas iepirkuma nolikumā.</w:t>
      </w:r>
    </w:p>
    <w:p w:rsidR="00CB27E3" w:rsidRDefault="00CB27E3" w:rsidP="00467633">
      <w:pPr>
        <w:jc w:val="both"/>
        <w:rPr>
          <w:b/>
          <w:u w:val="single"/>
        </w:rPr>
      </w:pPr>
    </w:p>
    <w:p w:rsidR="00A70AA6" w:rsidRPr="00A70AA6" w:rsidRDefault="00467633" w:rsidP="00467633">
      <w:pPr>
        <w:jc w:val="both"/>
      </w:pPr>
      <w:r w:rsidRPr="00A70AA6">
        <w:rPr>
          <w:b/>
          <w:u w:val="single"/>
        </w:rPr>
        <w:t>Piedāvājumu izvēles kritērijs:</w:t>
      </w:r>
      <w:r w:rsidRPr="00A70AA6">
        <w:t xml:space="preserve"> </w:t>
      </w:r>
      <w:r w:rsidR="00A70AA6" w:rsidRPr="00A70AA6">
        <w:t xml:space="preserve">saskaņā ar Iepirkuma nolikuma </w:t>
      </w:r>
      <w:r w:rsidR="00247E93">
        <w:t>7</w:t>
      </w:r>
      <w:r w:rsidR="00A70AA6" w:rsidRPr="00A70AA6">
        <w:t xml:space="preserve">.3.punktu par piedāvājumu izvēles kritēriju noteikts </w:t>
      </w:r>
      <w:r w:rsidR="001B05CD">
        <w:t xml:space="preserve">piedāvājums ar zemāko cenu. </w:t>
      </w:r>
    </w:p>
    <w:p w:rsidR="00CB27E3" w:rsidRDefault="00CB27E3" w:rsidP="00467633">
      <w:pPr>
        <w:jc w:val="both"/>
        <w:rPr>
          <w:b/>
          <w:u w:val="single"/>
        </w:rPr>
      </w:pPr>
    </w:p>
    <w:p w:rsidR="00467633" w:rsidRPr="00A70AA6" w:rsidRDefault="00467633" w:rsidP="00467633">
      <w:pPr>
        <w:jc w:val="both"/>
        <w:rPr>
          <w:b/>
          <w:u w:val="single"/>
        </w:rPr>
      </w:pPr>
      <w:r w:rsidRPr="00A70AA6">
        <w:rPr>
          <w:b/>
          <w:u w:val="single"/>
        </w:rPr>
        <w:t>Pretendent</w:t>
      </w:r>
      <w:r w:rsidR="006D647B">
        <w:rPr>
          <w:b/>
          <w:u w:val="single"/>
        </w:rPr>
        <w:t>i</w:t>
      </w:r>
      <w:r w:rsidRPr="00A70AA6">
        <w:rPr>
          <w:b/>
          <w:u w:val="single"/>
        </w:rPr>
        <w:t>, kur</w:t>
      </w:r>
      <w:r w:rsidR="006D647B">
        <w:rPr>
          <w:b/>
          <w:u w:val="single"/>
        </w:rPr>
        <w:t>i</w:t>
      </w:r>
      <w:r w:rsidR="00A70AA6" w:rsidRPr="00A70AA6">
        <w:rPr>
          <w:b/>
          <w:u w:val="single"/>
        </w:rPr>
        <w:t xml:space="preserve"> iesnie</w:t>
      </w:r>
      <w:r w:rsidR="006D647B">
        <w:rPr>
          <w:b/>
          <w:u w:val="single"/>
        </w:rPr>
        <w:t>guši</w:t>
      </w:r>
      <w:r w:rsidR="00A70AA6" w:rsidRPr="00A70AA6">
        <w:rPr>
          <w:b/>
          <w:u w:val="single"/>
        </w:rPr>
        <w:t xml:space="preserve"> savu</w:t>
      </w:r>
      <w:r w:rsidR="006D647B">
        <w:rPr>
          <w:b/>
          <w:u w:val="single"/>
        </w:rPr>
        <w:t>s</w:t>
      </w:r>
      <w:r w:rsidRPr="00A70AA6">
        <w:rPr>
          <w:b/>
          <w:u w:val="single"/>
        </w:rPr>
        <w:t xml:space="preserve"> piedāvājum</w:t>
      </w:r>
      <w:r w:rsidR="006D647B">
        <w:rPr>
          <w:b/>
          <w:u w:val="single"/>
        </w:rPr>
        <w:t>us</w:t>
      </w:r>
      <w:r w:rsidR="00A70AA6" w:rsidRPr="00A70AA6">
        <w:rPr>
          <w:b/>
          <w:u w:val="single"/>
        </w:rPr>
        <w:t>, t</w:t>
      </w:r>
      <w:r w:rsidR="006D647B">
        <w:rPr>
          <w:b/>
          <w:u w:val="single"/>
        </w:rPr>
        <w:t>o</w:t>
      </w:r>
      <w:r w:rsidR="007B477F">
        <w:rPr>
          <w:b/>
          <w:u w:val="single"/>
        </w:rPr>
        <w:t xml:space="preserve"> piedāvātā</w:t>
      </w:r>
      <w:r w:rsidR="006D647B">
        <w:rPr>
          <w:b/>
          <w:u w:val="single"/>
        </w:rPr>
        <w:t>s</w:t>
      </w:r>
      <w:r w:rsidR="00A70AA6" w:rsidRPr="00A70AA6">
        <w:rPr>
          <w:b/>
          <w:u w:val="single"/>
        </w:rPr>
        <w:t xml:space="preserve"> līgumcena</w:t>
      </w:r>
      <w:r w:rsidR="006D647B">
        <w:rPr>
          <w:b/>
          <w:u w:val="single"/>
        </w:rPr>
        <w:t>s</w:t>
      </w:r>
      <w:r w:rsidR="00247E93">
        <w:rPr>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695"/>
        <w:gridCol w:w="3503"/>
      </w:tblGrid>
      <w:tr w:rsidR="00CB27E3" w:rsidRPr="00CB27E3" w:rsidTr="005349F8">
        <w:tc>
          <w:tcPr>
            <w:tcW w:w="1101" w:type="dxa"/>
            <w:shd w:val="clear" w:color="auto" w:fill="auto"/>
            <w:vAlign w:val="center"/>
          </w:tcPr>
          <w:p w:rsidR="00CB27E3" w:rsidRPr="00CB27E3" w:rsidRDefault="00CB27E3" w:rsidP="00CB27E3">
            <w:pPr>
              <w:tabs>
                <w:tab w:val="left" w:pos="0"/>
              </w:tabs>
              <w:suppressAutoHyphens/>
              <w:jc w:val="center"/>
              <w:rPr>
                <w:b/>
              </w:rPr>
            </w:pPr>
            <w:r w:rsidRPr="00CB27E3">
              <w:rPr>
                <w:b/>
              </w:rPr>
              <w:t>Nr.p.k.</w:t>
            </w:r>
          </w:p>
        </w:tc>
        <w:tc>
          <w:tcPr>
            <w:tcW w:w="4961" w:type="dxa"/>
            <w:shd w:val="clear" w:color="auto" w:fill="auto"/>
            <w:vAlign w:val="center"/>
          </w:tcPr>
          <w:p w:rsidR="00CB27E3" w:rsidRPr="00CB27E3" w:rsidRDefault="00CB27E3" w:rsidP="00CB27E3">
            <w:pPr>
              <w:tabs>
                <w:tab w:val="left" w:pos="0"/>
              </w:tabs>
              <w:suppressAutoHyphens/>
              <w:jc w:val="center"/>
              <w:rPr>
                <w:b/>
              </w:rPr>
            </w:pPr>
            <w:r w:rsidRPr="00CB27E3">
              <w:rPr>
                <w:b/>
              </w:rPr>
              <w:t>Pretendents</w:t>
            </w:r>
          </w:p>
        </w:tc>
        <w:tc>
          <w:tcPr>
            <w:tcW w:w="3685" w:type="dxa"/>
            <w:shd w:val="clear" w:color="auto" w:fill="auto"/>
            <w:vAlign w:val="center"/>
          </w:tcPr>
          <w:p w:rsidR="00CB27E3" w:rsidRPr="00CB27E3" w:rsidRDefault="00CB27E3" w:rsidP="00CB27E3">
            <w:pPr>
              <w:tabs>
                <w:tab w:val="left" w:pos="0"/>
              </w:tabs>
              <w:suppressAutoHyphens/>
              <w:jc w:val="center"/>
              <w:rPr>
                <w:b/>
              </w:rPr>
            </w:pPr>
            <w:r w:rsidRPr="00CB27E3">
              <w:rPr>
                <w:b/>
              </w:rPr>
              <w:t>Piedāvātā līgumcena EUR (bez PVN)</w:t>
            </w:r>
          </w:p>
        </w:tc>
      </w:tr>
      <w:tr w:rsidR="00CB27E3" w:rsidRPr="00CB27E3" w:rsidTr="005349F8">
        <w:tc>
          <w:tcPr>
            <w:tcW w:w="1101" w:type="dxa"/>
            <w:shd w:val="clear" w:color="auto" w:fill="auto"/>
            <w:vAlign w:val="center"/>
          </w:tcPr>
          <w:p w:rsidR="00CB27E3" w:rsidRPr="00CB27E3" w:rsidRDefault="00CB27E3" w:rsidP="00CB27E3">
            <w:pPr>
              <w:tabs>
                <w:tab w:val="left" w:pos="0"/>
              </w:tabs>
              <w:suppressAutoHyphens/>
              <w:jc w:val="center"/>
            </w:pPr>
            <w:r w:rsidRPr="00CB27E3">
              <w:t>1.</w:t>
            </w:r>
          </w:p>
        </w:tc>
        <w:tc>
          <w:tcPr>
            <w:tcW w:w="4961" w:type="dxa"/>
            <w:shd w:val="clear" w:color="auto" w:fill="auto"/>
            <w:vAlign w:val="center"/>
          </w:tcPr>
          <w:p w:rsidR="00CB27E3" w:rsidRPr="00CB27E3" w:rsidRDefault="00CB27E3" w:rsidP="00CB27E3">
            <w:pPr>
              <w:tabs>
                <w:tab w:val="left" w:pos="0"/>
              </w:tabs>
              <w:suppressAutoHyphens/>
              <w:jc w:val="center"/>
            </w:pPr>
            <w:r w:rsidRPr="00CB27E3">
              <w:t>AS “Capital”</w:t>
            </w:r>
          </w:p>
        </w:tc>
        <w:tc>
          <w:tcPr>
            <w:tcW w:w="3685" w:type="dxa"/>
            <w:shd w:val="clear" w:color="auto" w:fill="auto"/>
            <w:vAlign w:val="center"/>
          </w:tcPr>
          <w:p w:rsidR="00CB27E3" w:rsidRPr="00CB27E3" w:rsidRDefault="00CB27E3" w:rsidP="00CB27E3">
            <w:pPr>
              <w:tabs>
                <w:tab w:val="left" w:pos="0"/>
              </w:tabs>
              <w:suppressAutoHyphens/>
              <w:jc w:val="center"/>
            </w:pPr>
            <w:r w:rsidRPr="00CB27E3">
              <w:t>2268,00</w:t>
            </w:r>
          </w:p>
        </w:tc>
      </w:tr>
      <w:tr w:rsidR="00CB27E3" w:rsidRPr="00CB27E3" w:rsidTr="005349F8">
        <w:tc>
          <w:tcPr>
            <w:tcW w:w="1101" w:type="dxa"/>
            <w:shd w:val="clear" w:color="auto" w:fill="auto"/>
            <w:vAlign w:val="center"/>
          </w:tcPr>
          <w:p w:rsidR="00CB27E3" w:rsidRPr="00CB27E3" w:rsidRDefault="00CB27E3" w:rsidP="00CB27E3">
            <w:pPr>
              <w:tabs>
                <w:tab w:val="left" w:pos="0"/>
              </w:tabs>
              <w:suppressAutoHyphens/>
              <w:jc w:val="center"/>
            </w:pPr>
            <w:r w:rsidRPr="00CB27E3">
              <w:t>2.</w:t>
            </w:r>
          </w:p>
        </w:tc>
        <w:tc>
          <w:tcPr>
            <w:tcW w:w="4961" w:type="dxa"/>
            <w:shd w:val="clear" w:color="auto" w:fill="auto"/>
            <w:vAlign w:val="center"/>
          </w:tcPr>
          <w:p w:rsidR="00CB27E3" w:rsidRPr="00CB27E3" w:rsidRDefault="00CB27E3" w:rsidP="00CB27E3">
            <w:pPr>
              <w:tabs>
                <w:tab w:val="left" w:pos="0"/>
              </w:tabs>
              <w:suppressAutoHyphens/>
              <w:jc w:val="center"/>
            </w:pPr>
            <w:r w:rsidRPr="00CB27E3">
              <w:t>SIA “TelCom”</w:t>
            </w:r>
          </w:p>
        </w:tc>
        <w:tc>
          <w:tcPr>
            <w:tcW w:w="3685" w:type="dxa"/>
            <w:shd w:val="clear" w:color="auto" w:fill="auto"/>
            <w:vAlign w:val="center"/>
          </w:tcPr>
          <w:p w:rsidR="00CB27E3" w:rsidRPr="00CB27E3" w:rsidRDefault="00CB27E3" w:rsidP="00CB27E3">
            <w:pPr>
              <w:tabs>
                <w:tab w:val="left" w:pos="0"/>
              </w:tabs>
              <w:suppressAutoHyphens/>
              <w:jc w:val="center"/>
            </w:pPr>
            <w:r w:rsidRPr="00CB27E3">
              <w:t>2695,00</w:t>
            </w:r>
          </w:p>
        </w:tc>
      </w:tr>
      <w:tr w:rsidR="00CB27E3" w:rsidRPr="00CB27E3" w:rsidTr="005349F8">
        <w:tc>
          <w:tcPr>
            <w:tcW w:w="1101" w:type="dxa"/>
            <w:shd w:val="clear" w:color="auto" w:fill="auto"/>
            <w:vAlign w:val="center"/>
          </w:tcPr>
          <w:p w:rsidR="00CB27E3" w:rsidRPr="00CB27E3" w:rsidRDefault="00CB27E3" w:rsidP="00CB27E3">
            <w:pPr>
              <w:tabs>
                <w:tab w:val="left" w:pos="0"/>
              </w:tabs>
              <w:suppressAutoHyphens/>
              <w:jc w:val="center"/>
            </w:pPr>
            <w:r w:rsidRPr="00CB27E3">
              <w:t>3.</w:t>
            </w:r>
          </w:p>
        </w:tc>
        <w:tc>
          <w:tcPr>
            <w:tcW w:w="4961" w:type="dxa"/>
            <w:shd w:val="clear" w:color="auto" w:fill="auto"/>
            <w:vAlign w:val="center"/>
          </w:tcPr>
          <w:p w:rsidR="00CB27E3" w:rsidRPr="00CB27E3" w:rsidRDefault="00CB27E3" w:rsidP="00CB27E3">
            <w:pPr>
              <w:tabs>
                <w:tab w:val="left" w:pos="0"/>
              </w:tabs>
              <w:suppressAutoHyphens/>
              <w:jc w:val="center"/>
            </w:pPr>
            <w:r w:rsidRPr="00CB27E3">
              <w:t>SIA “Atea”</w:t>
            </w:r>
          </w:p>
        </w:tc>
        <w:tc>
          <w:tcPr>
            <w:tcW w:w="3685" w:type="dxa"/>
            <w:shd w:val="clear" w:color="auto" w:fill="auto"/>
            <w:vAlign w:val="center"/>
          </w:tcPr>
          <w:p w:rsidR="00CB27E3" w:rsidRPr="00CB27E3" w:rsidRDefault="00CB27E3" w:rsidP="00CB27E3">
            <w:pPr>
              <w:tabs>
                <w:tab w:val="left" w:pos="0"/>
              </w:tabs>
              <w:suppressAutoHyphens/>
              <w:jc w:val="center"/>
            </w:pPr>
            <w:r w:rsidRPr="00CB27E3">
              <w:t>2660,00</w:t>
            </w:r>
          </w:p>
        </w:tc>
      </w:tr>
      <w:tr w:rsidR="00CB27E3" w:rsidRPr="00CB27E3" w:rsidTr="005349F8">
        <w:tc>
          <w:tcPr>
            <w:tcW w:w="1101" w:type="dxa"/>
            <w:shd w:val="clear" w:color="auto" w:fill="auto"/>
            <w:vAlign w:val="center"/>
          </w:tcPr>
          <w:p w:rsidR="00CB27E3" w:rsidRPr="00CB27E3" w:rsidRDefault="00CB27E3" w:rsidP="00CB27E3">
            <w:pPr>
              <w:tabs>
                <w:tab w:val="left" w:pos="0"/>
              </w:tabs>
              <w:suppressAutoHyphens/>
              <w:jc w:val="center"/>
            </w:pPr>
            <w:r w:rsidRPr="00CB27E3">
              <w:t>4.</w:t>
            </w:r>
          </w:p>
        </w:tc>
        <w:tc>
          <w:tcPr>
            <w:tcW w:w="4961" w:type="dxa"/>
            <w:shd w:val="clear" w:color="auto" w:fill="auto"/>
            <w:vAlign w:val="center"/>
          </w:tcPr>
          <w:p w:rsidR="00CB27E3" w:rsidRPr="00CB27E3" w:rsidRDefault="00CB27E3" w:rsidP="00CB27E3">
            <w:pPr>
              <w:tabs>
                <w:tab w:val="left" w:pos="0"/>
              </w:tabs>
              <w:suppressAutoHyphens/>
              <w:jc w:val="center"/>
            </w:pPr>
            <w:r w:rsidRPr="00CB27E3">
              <w:t>SIA “Lielvārds”</w:t>
            </w:r>
          </w:p>
        </w:tc>
        <w:tc>
          <w:tcPr>
            <w:tcW w:w="3685" w:type="dxa"/>
            <w:shd w:val="clear" w:color="auto" w:fill="auto"/>
            <w:vAlign w:val="center"/>
          </w:tcPr>
          <w:p w:rsidR="00CB27E3" w:rsidRPr="00CB27E3" w:rsidRDefault="00CB27E3" w:rsidP="00CB27E3">
            <w:pPr>
              <w:tabs>
                <w:tab w:val="left" w:pos="0"/>
              </w:tabs>
              <w:suppressAutoHyphens/>
              <w:jc w:val="center"/>
            </w:pPr>
            <w:r w:rsidRPr="00CB27E3">
              <w:t>2501,69</w:t>
            </w:r>
          </w:p>
        </w:tc>
      </w:tr>
      <w:tr w:rsidR="00CB27E3" w:rsidRPr="00CB27E3" w:rsidTr="005349F8">
        <w:tc>
          <w:tcPr>
            <w:tcW w:w="1101" w:type="dxa"/>
            <w:shd w:val="clear" w:color="auto" w:fill="auto"/>
            <w:vAlign w:val="center"/>
          </w:tcPr>
          <w:p w:rsidR="00CB27E3" w:rsidRPr="00CB27E3" w:rsidRDefault="00CB27E3" w:rsidP="00CB27E3">
            <w:pPr>
              <w:tabs>
                <w:tab w:val="left" w:pos="0"/>
              </w:tabs>
              <w:suppressAutoHyphens/>
              <w:jc w:val="center"/>
            </w:pPr>
            <w:r w:rsidRPr="00CB27E3">
              <w:t>5.</w:t>
            </w:r>
          </w:p>
        </w:tc>
        <w:tc>
          <w:tcPr>
            <w:tcW w:w="4961" w:type="dxa"/>
            <w:shd w:val="clear" w:color="auto" w:fill="auto"/>
            <w:vAlign w:val="center"/>
          </w:tcPr>
          <w:p w:rsidR="00CB27E3" w:rsidRPr="00CB27E3" w:rsidRDefault="00CB27E3" w:rsidP="00CB27E3">
            <w:pPr>
              <w:tabs>
                <w:tab w:val="left" w:pos="0"/>
              </w:tabs>
              <w:suppressAutoHyphens/>
              <w:jc w:val="center"/>
            </w:pPr>
            <w:r w:rsidRPr="00CB27E3">
              <w:t>SIA “Sentios”</w:t>
            </w:r>
          </w:p>
        </w:tc>
        <w:tc>
          <w:tcPr>
            <w:tcW w:w="3685" w:type="dxa"/>
            <w:shd w:val="clear" w:color="auto" w:fill="auto"/>
            <w:vAlign w:val="center"/>
          </w:tcPr>
          <w:p w:rsidR="00CB27E3" w:rsidRPr="00CB27E3" w:rsidRDefault="00CB27E3" w:rsidP="00CB27E3">
            <w:pPr>
              <w:tabs>
                <w:tab w:val="left" w:pos="0"/>
              </w:tabs>
              <w:suppressAutoHyphens/>
              <w:jc w:val="center"/>
            </w:pPr>
            <w:r w:rsidRPr="00CB27E3">
              <w:t>3855,00</w:t>
            </w:r>
          </w:p>
        </w:tc>
      </w:tr>
    </w:tbl>
    <w:p w:rsidR="00CB27E3" w:rsidRDefault="00CB27E3" w:rsidP="00467633">
      <w:pPr>
        <w:jc w:val="both"/>
        <w:rPr>
          <w:b/>
          <w:u w:val="single"/>
        </w:rPr>
      </w:pPr>
    </w:p>
    <w:p w:rsidR="00467633" w:rsidRPr="00A70AA6" w:rsidRDefault="00467633" w:rsidP="00467633">
      <w:pPr>
        <w:jc w:val="both"/>
        <w:rPr>
          <w:b/>
          <w:u w:val="single"/>
        </w:rPr>
      </w:pPr>
      <w:r w:rsidRPr="00A70AA6">
        <w:rPr>
          <w:b/>
          <w:u w:val="single"/>
        </w:rPr>
        <w:t xml:space="preserve">Piedāvājuma vērtēšanas kopsavilkums: </w:t>
      </w:r>
    </w:p>
    <w:p w:rsidR="00467633" w:rsidRPr="00A70AA6" w:rsidRDefault="00467633" w:rsidP="00467633">
      <w:pPr>
        <w:ind w:firstLine="720"/>
        <w:jc w:val="both"/>
      </w:pPr>
      <w:r w:rsidRPr="00A70AA6">
        <w:t>Publisko iepirkumu likuma 8</w:t>
      </w:r>
      <w:r w:rsidR="00A70AA6" w:rsidRPr="00A70AA6">
        <w:t>.</w:t>
      </w:r>
      <w:r w:rsidR="00A70AA6" w:rsidRPr="00A70AA6">
        <w:rPr>
          <w:vertAlign w:val="superscript"/>
        </w:rPr>
        <w:t>2</w:t>
      </w:r>
      <w:r w:rsidR="00A70AA6" w:rsidRPr="00A70AA6">
        <w:t xml:space="preserve"> </w:t>
      </w:r>
      <w:r w:rsidRPr="00A70AA6">
        <w:t xml:space="preserve">panta devītajā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w:t>
      </w:r>
      <w:r w:rsidR="00A70AA6" w:rsidRPr="00A70AA6">
        <w:t xml:space="preserve">Prasība, pēc kuras tiek izraudzīts pretendents, kam piešķiramas līguma slēgšanas tiesības, saskaņā ar Iepirkuma nolikuma </w:t>
      </w:r>
      <w:r w:rsidR="00DD2247">
        <w:t>7</w:t>
      </w:r>
      <w:r w:rsidR="00A70AA6" w:rsidRPr="00A70AA6">
        <w:t xml:space="preserve">.3.punktu tika noteikta </w:t>
      </w:r>
      <w:r w:rsidR="001B05CD">
        <w:t xml:space="preserve">zemākās cenas </w:t>
      </w:r>
      <w:r w:rsidR="00A70AA6" w:rsidRPr="00A70AA6">
        <w:t>piedāvājums</w:t>
      </w:r>
      <w:r w:rsidRPr="00A70AA6">
        <w:t>.</w:t>
      </w:r>
    </w:p>
    <w:p w:rsidR="00467633" w:rsidRPr="00A70AA6" w:rsidRDefault="00467633" w:rsidP="00467633">
      <w:pPr>
        <w:ind w:firstLine="720"/>
        <w:jc w:val="both"/>
      </w:pPr>
      <w:r w:rsidRPr="00A70AA6">
        <w:t xml:space="preserve"> No minētā secināms, ka līguma slēgšanas tiesības var tikt piešķirtas pretendentam, kura iesniegtais piedāvājums atbilst visām iepirkuma dokumentācijā un normatīvajos aktos noteiktajām prasībām, un kura piedāvājums </w:t>
      </w:r>
      <w:r w:rsidR="001B05CD">
        <w:t>ir ar zemāko cenu</w:t>
      </w:r>
      <w:r w:rsidR="006D647B">
        <w:t xml:space="preserve"> katras Iepirkuma daļas ietvaros</w:t>
      </w:r>
      <w:r w:rsidRPr="00A70AA6">
        <w:t>.</w:t>
      </w:r>
    </w:p>
    <w:p w:rsidR="006D647B" w:rsidRDefault="00271460" w:rsidP="00CB27E3">
      <w:pPr>
        <w:ind w:firstLine="720"/>
        <w:jc w:val="both"/>
      </w:pPr>
      <w:r w:rsidRPr="00271460">
        <w:t xml:space="preserve">Pārbaudot </w:t>
      </w:r>
      <w:r w:rsidR="006D647B">
        <w:t>pretendentu</w:t>
      </w:r>
      <w:r w:rsidRPr="00271460">
        <w:t xml:space="preserve"> iesniegto</w:t>
      </w:r>
      <w:r w:rsidR="006D647B">
        <w:t>s</w:t>
      </w:r>
      <w:r w:rsidRPr="00271460">
        <w:t xml:space="preserve"> piedāvājumu</w:t>
      </w:r>
      <w:r w:rsidR="006D647B">
        <w:t>s</w:t>
      </w:r>
      <w:r w:rsidR="00701CEA">
        <w:t xml:space="preserve"> Iepirkuma</w:t>
      </w:r>
      <w:r w:rsidR="00CB27E3">
        <w:t>m, Iepirkuma komisija secināja, ka visi pretendentu iesniegtie piedāvājumi ir atbilstoši Iepirkuma nolikumā noteiktajām prasībām</w:t>
      </w:r>
      <w:r w:rsidR="00701CEA">
        <w:t>.</w:t>
      </w:r>
      <w:r w:rsidR="00CB27E3">
        <w:t xml:space="preserve"> Piedāvājumu ar zemāko cenu ir iesniedzis pretendents AS “Capital” par piedāvāto līgumcenu EUR 2268,00 bez PVN.</w:t>
      </w:r>
    </w:p>
    <w:p w:rsidR="00467633" w:rsidRDefault="00467633" w:rsidP="00271460">
      <w:pPr>
        <w:ind w:firstLine="720"/>
        <w:jc w:val="both"/>
      </w:pPr>
      <w:r w:rsidRPr="00A70AA6">
        <w:lastRenderedPageBreak/>
        <w:t>Pasūtītājs veicis Publisko iepirkumu likuma 8.</w:t>
      </w:r>
      <w:r w:rsidRPr="00A70AA6">
        <w:rPr>
          <w:vertAlign w:val="superscript"/>
        </w:rPr>
        <w:t xml:space="preserve">2 </w:t>
      </w:r>
      <w:r w:rsidRPr="00A70AA6">
        <w:t>panta septītajā daļā noteikto pārbaudi, lai pārliecinātos, ka uz pretendent</w:t>
      </w:r>
      <w:r w:rsidR="006D647B">
        <w:t>iem</w:t>
      </w:r>
      <w:r w:rsidRPr="00A70AA6">
        <w:t>, kam piešķiramas līguma slēgšanas tiesības, nav attiecināmi Publisko iepirkumu likuma 8.</w:t>
      </w:r>
      <w:r w:rsidRPr="00A70AA6">
        <w:rPr>
          <w:vertAlign w:val="superscript"/>
        </w:rPr>
        <w:t>2</w:t>
      </w:r>
      <w:r w:rsidRPr="00A70AA6">
        <w:t xml:space="preserve"> panta piektajā daļā noteiktie izslēgšanas nosacījumi.</w:t>
      </w:r>
    </w:p>
    <w:p w:rsidR="00CB27E3" w:rsidRPr="00A70AA6" w:rsidRDefault="00CB27E3" w:rsidP="00271460">
      <w:pPr>
        <w:ind w:firstLine="720"/>
        <w:jc w:val="both"/>
      </w:pPr>
    </w:p>
    <w:p w:rsidR="00467633" w:rsidRPr="00A70AA6" w:rsidRDefault="00467633" w:rsidP="00701CEA">
      <w:pPr>
        <w:jc w:val="both"/>
        <w:rPr>
          <w:b/>
          <w:u w:val="single"/>
        </w:rPr>
      </w:pPr>
      <w:r w:rsidRPr="00A70AA6">
        <w:rPr>
          <w:b/>
          <w:u w:val="single"/>
        </w:rPr>
        <w:t>Pretendents, kuram piešķirtas līguma slēgšanas tiesības</w:t>
      </w:r>
      <w:r w:rsidR="00701CEA">
        <w:rPr>
          <w:b/>
          <w:u w:val="single"/>
        </w:rPr>
        <w:t xml:space="preserve"> Iepirkuma ietvaros, </w:t>
      </w:r>
      <w:r w:rsidRPr="00A70AA6">
        <w:rPr>
          <w:b/>
          <w:u w:val="single"/>
        </w:rPr>
        <w:t>līgumcena, par kuru tiks slēgts līgums:</w:t>
      </w:r>
    </w:p>
    <w:p w:rsidR="00125A26" w:rsidRPr="00A70AA6" w:rsidRDefault="00CB27E3" w:rsidP="00957607">
      <w:pPr>
        <w:jc w:val="both"/>
      </w:pPr>
      <w:r>
        <w:t>AS “Capital</w:t>
      </w:r>
      <w:r w:rsidR="00A570C4">
        <w:t>”</w:t>
      </w:r>
      <w:r w:rsidR="00467633" w:rsidRPr="00A70AA6">
        <w:t>,</w:t>
      </w:r>
      <w:r w:rsidR="00A570C4">
        <w:t xml:space="preserve"> </w:t>
      </w:r>
      <w:r w:rsidR="00467633" w:rsidRPr="00A70AA6">
        <w:t>līgumcen</w:t>
      </w:r>
      <w:r w:rsidR="00A70AA6" w:rsidRPr="00A70AA6">
        <w:t xml:space="preserve">a – </w:t>
      </w:r>
      <w:r w:rsidR="00876AF3">
        <w:t xml:space="preserve">EUR </w:t>
      </w:r>
      <w:r>
        <w:t xml:space="preserve">2268,00 </w:t>
      </w:r>
      <w:r w:rsidR="00876AF3">
        <w:t>bez PVN</w:t>
      </w:r>
      <w:r w:rsidR="00A70AA6" w:rsidRPr="00A70AA6">
        <w:t>.</w:t>
      </w:r>
    </w:p>
    <w:tbl>
      <w:tblPr>
        <w:tblW w:w="9464" w:type="dxa"/>
        <w:tblLayout w:type="fixed"/>
        <w:tblLook w:val="01E0" w:firstRow="1" w:lastRow="1" w:firstColumn="1" w:lastColumn="1" w:noHBand="0" w:noVBand="0"/>
      </w:tblPr>
      <w:tblGrid>
        <w:gridCol w:w="9464"/>
      </w:tblGrid>
      <w:tr w:rsidR="00CB27E3" w:rsidRPr="00A70AA6" w:rsidTr="00CB27E3">
        <w:tc>
          <w:tcPr>
            <w:tcW w:w="9464" w:type="dxa"/>
          </w:tcPr>
          <w:p w:rsidR="00CB27E3" w:rsidRPr="00A70AA6" w:rsidRDefault="00CB27E3" w:rsidP="00251785"/>
          <w:p w:rsidR="00CB27E3" w:rsidRPr="00A70AA6" w:rsidRDefault="00CB27E3" w:rsidP="00957607">
            <w:pPr>
              <w:ind w:left="-108"/>
            </w:pPr>
            <w:r>
              <w:t xml:space="preserve">Iepirkumu komisijas priekšsēdētāja                                                                            J.Rudzīte             </w:t>
            </w:r>
          </w:p>
          <w:p w:rsidR="00CB27E3" w:rsidRPr="00A70AA6" w:rsidRDefault="00CB27E3" w:rsidP="00251785"/>
          <w:p w:rsidR="00CB27E3" w:rsidRPr="00A70AA6" w:rsidRDefault="00CB27E3" w:rsidP="00251785">
            <w:pPr>
              <w:jc w:val="right"/>
              <w:rPr>
                <w:u w:val="single"/>
              </w:rPr>
            </w:pPr>
          </w:p>
        </w:tc>
      </w:tr>
    </w:tbl>
    <w:p w:rsidR="00706A89" w:rsidRPr="00467633" w:rsidRDefault="00706A89" w:rsidP="00AD0A54">
      <w:pPr>
        <w:rPr>
          <w:sz w:val="20"/>
          <w:szCs w:val="20"/>
        </w:rPr>
      </w:pPr>
    </w:p>
    <w:sectPr w:rsidR="00706A89" w:rsidRPr="00467633" w:rsidSect="00467633">
      <w:footerReference w:type="even" r:id="rId9"/>
      <w:footerReference w:type="default" r:id="rId10"/>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1F" w:rsidRDefault="007C721F">
      <w:r>
        <w:separator/>
      </w:r>
    </w:p>
  </w:endnote>
  <w:endnote w:type="continuationSeparator" w:id="0">
    <w:p w:rsidR="007C721F" w:rsidRDefault="007C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eutonic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B6" w:rsidRDefault="00017F85" w:rsidP="00CD19D6">
    <w:pPr>
      <w:pStyle w:val="Footer"/>
      <w:framePr w:wrap="around" w:vAnchor="text" w:hAnchor="margin" w:xAlign="right" w:y="1"/>
      <w:rPr>
        <w:rStyle w:val="PageNumber"/>
      </w:rPr>
    </w:pPr>
    <w:r>
      <w:rPr>
        <w:rStyle w:val="PageNumber"/>
      </w:rPr>
      <w:fldChar w:fldCharType="begin"/>
    </w:r>
    <w:r w:rsidR="006F15B6">
      <w:rPr>
        <w:rStyle w:val="PageNumber"/>
      </w:rPr>
      <w:instrText xml:space="preserve">PAGE  </w:instrText>
    </w:r>
    <w:r>
      <w:rPr>
        <w:rStyle w:val="PageNumber"/>
      </w:rPr>
      <w:fldChar w:fldCharType="end"/>
    </w:r>
  </w:p>
  <w:p w:rsidR="006F15B6" w:rsidRDefault="006F15B6" w:rsidP="008D6B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B6" w:rsidRDefault="00017F85" w:rsidP="00CD19D6">
    <w:pPr>
      <w:pStyle w:val="Footer"/>
      <w:framePr w:wrap="around" w:vAnchor="text" w:hAnchor="margin" w:xAlign="right" w:y="1"/>
      <w:rPr>
        <w:rStyle w:val="PageNumber"/>
      </w:rPr>
    </w:pPr>
    <w:r>
      <w:rPr>
        <w:rStyle w:val="PageNumber"/>
      </w:rPr>
      <w:fldChar w:fldCharType="begin"/>
    </w:r>
    <w:r w:rsidR="006F15B6">
      <w:rPr>
        <w:rStyle w:val="PageNumber"/>
      </w:rPr>
      <w:instrText xml:space="preserve">PAGE  </w:instrText>
    </w:r>
    <w:r>
      <w:rPr>
        <w:rStyle w:val="PageNumber"/>
      </w:rPr>
      <w:fldChar w:fldCharType="separate"/>
    </w:r>
    <w:r w:rsidR="00CB27E3">
      <w:rPr>
        <w:rStyle w:val="PageNumber"/>
        <w:noProof/>
      </w:rPr>
      <w:t>2</w:t>
    </w:r>
    <w:r>
      <w:rPr>
        <w:rStyle w:val="PageNumber"/>
      </w:rPr>
      <w:fldChar w:fldCharType="end"/>
    </w:r>
  </w:p>
  <w:p w:rsidR="006F15B6" w:rsidRDefault="006F15B6" w:rsidP="008D6B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1F" w:rsidRDefault="007C721F">
      <w:r>
        <w:separator/>
      </w:r>
    </w:p>
  </w:footnote>
  <w:footnote w:type="continuationSeparator" w:id="0">
    <w:p w:rsidR="007C721F" w:rsidRDefault="007C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CCA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51C97"/>
    <w:multiLevelType w:val="hybridMultilevel"/>
    <w:tmpl w:val="36A6F7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22165F2"/>
    <w:multiLevelType w:val="hybridMultilevel"/>
    <w:tmpl w:val="FFB801D4"/>
    <w:lvl w:ilvl="0" w:tplc="647684EA">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9E3705A"/>
    <w:multiLevelType w:val="hybridMultilevel"/>
    <w:tmpl w:val="7B62C8F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01C7E13"/>
    <w:multiLevelType w:val="hybridMultilevel"/>
    <w:tmpl w:val="B2062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A523BEC"/>
    <w:multiLevelType w:val="hybridMultilevel"/>
    <w:tmpl w:val="9B14CBE0"/>
    <w:lvl w:ilvl="0" w:tplc="023278B0">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2ECC7283"/>
    <w:multiLevelType w:val="hybridMultilevel"/>
    <w:tmpl w:val="61BA9C3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F49512B"/>
    <w:multiLevelType w:val="hybridMultilevel"/>
    <w:tmpl w:val="474A5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C415F4"/>
    <w:multiLevelType w:val="hybridMultilevel"/>
    <w:tmpl w:val="2EA609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F4F0745"/>
    <w:multiLevelType w:val="hybridMultilevel"/>
    <w:tmpl w:val="5F3CEC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F7A6D5A"/>
    <w:multiLevelType w:val="hybridMultilevel"/>
    <w:tmpl w:val="9A6A603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5BFF7F24"/>
    <w:multiLevelType w:val="hybridMultilevel"/>
    <w:tmpl w:val="6A3AADA0"/>
    <w:lvl w:ilvl="0" w:tplc="722EC1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3"/>
  </w:num>
  <w:num w:numId="3">
    <w:abstractNumId w:val="7"/>
  </w:num>
  <w:num w:numId="4">
    <w:abstractNumId w:val="2"/>
  </w:num>
  <w:num w:numId="5">
    <w:abstractNumId w:val="6"/>
  </w:num>
  <w:num w:numId="6">
    <w:abstractNumId w:val="5"/>
  </w:num>
  <w:num w:numId="7">
    <w:abstractNumId w:val="4"/>
  </w:num>
  <w:num w:numId="8">
    <w:abstractNumId w:val="0"/>
  </w:num>
  <w:num w:numId="9">
    <w:abstractNumId w:val="1"/>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88"/>
    <w:rsid w:val="00011B1F"/>
    <w:rsid w:val="00017F85"/>
    <w:rsid w:val="0002068C"/>
    <w:rsid w:val="00042C5A"/>
    <w:rsid w:val="000637B4"/>
    <w:rsid w:val="00070636"/>
    <w:rsid w:val="00074A28"/>
    <w:rsid w:val="00083A35"/>
    <w:rsid w:val="000A5E28"/>
    <w:rsid w:val="000C1C94"/>
    <w:rsid w:val="000D65C8"/>
    <w:rsid w:val="000E6A21"/>
    <w:rsid w:val="00125222"/>
    <w:rsid w:val="00125A26"/>
    <w:rsid w:val="00144DD9"/>
    <w:rsid w:val="00165AA8"/>
    <w:rsid w:val="001A43B2"/>
    <w:rsid w:val="001B05CD"/>
    <w:rsid w:val="001C5DCC"/>
    <w:rsid w:val="001E3B00"/>
    <w:rsid w:val="001F7E4D"/>
    <w:rsid w:val="0020056D"/>
    <w:rsid w:val="00203F47"/>
    <w:rsid w:val="0020573F"/>
    <w:rsid w:val="00211989"/>
    <w:rsid w:val="00217BB4"/>
    <w:rsid w:val="00222E68"/>
    <w:rsid w:val="00232221"/>
    <w:rsid w:val="0024561E"/>
    <w:rsid w:val="00247E93"/>
    <w:rsid w:val="00271460"/>
    <w:rsid w:val="002A6707"/>
    <w:rsid w:val="002B67C0"/>
    <w:rsid w:val="002C5463"/>
    <w:rsid w:val="002E0489"/>
    <w:rsid w:val="002E0FC8"/>
    <w:rsid w:val="002E59B1"/>
    <w:rsid w:val="002F2711"/>
    <w:rsid w:val="002F38A3"/>
    <w:rsid w:val="002F5B3A"/>
    <w:rsid w:val="00312D3D"/>
    <w:rsid w:val="00322AF9"/>
    <w:rsid w:val="00330552"/>
    <w:rsid w:val="00337579"/>
    <w:rsid w:val="003459C4"/>
    <w:rsid w:val="00347FFC"/>
    <w:rsid w:val="00351135"/>
    <w:rsid w:val="003604BE"/>
    <w:rsid w:val="00366203"/>
    <w:rsid w:val="00367205"/>
    <w:rsid w:val="00370E0B"/>
    <w:rsid w:val="00392927"/>
    <w:rsid w:val="00394A69"/>
    <w:rsid w:val="003A7232"/>
    <w:rsid w:val="003B2245"/>
    <w:rsid w:val="003C56C3"/>
    <w:rsid w:val="003E0987"/>
    <w:rsid w:val="003E1260"/>
    <w:rsid w:val="003F012F"/>
    <w:rsid w:val="00411561"/>
    <w:rsid w:val="00412C88"/>
    <w:rsid w:val="00415D40"/>
    <w:rsid w:val="004206DE"/>
    <w:rsid w:val="00440DD3"/>
    <w:rsid w:val="00441593"/>
    <w:rsid w:val="00442279"/>
    <w:rsid w:val="00452315"/>
    <w:rsid w:val="00453EB8"/>
    <w:rsid w:val="00464457"/>
    <w:rsid w:val="00467633"/>
    <w:rsid w:val="004676FD"/>
    <w:rsid w:val="0048573D"/>
    <w:rsid w:val="00486E15"/>
    <w:rsid w:val="00491AAF"/>
    <w:rsid w:val="004944DF"/>
    <w:rsid w:val="004B7218"/>
    <w:rsid w:val="004C5D05"/>
    <w:rsid w:val="004C64BE"/>
    <w:rsid w:val="004D717C"/>
    <w:rsid w:val="004E4096"/>
    <w:rsid w:val="004E4E8E"/>
    <w:rsid w:val="004E767C"/>
    <w:rsid w:val="004F3C71"/>
    <w:rsid w:val="00505A5C"/>
    <w:rsid w:val="0053376C"/>
    <w:rsid w:val="00563216"/>
    <w:rsid w:val="00574401"/>
    <w:rsid w:val="00595E70"/>
    <w:rsid w:val="005A31D9"/>
    <w:rsid w:val="005B0BC4"/>
    <w:rsid w:val="005C5170"/>
    <w:rsid w:val="005C541A"/>
    <w:rsid w:val="005C7D46"/>
    <w:rsid w:val="005F6E03"/>
    <w:rsid w:val="00601378"/>
    <w:rsid w:val="006019D2"/>
    <w:rsid w:val="00603DF4"/>
    <w:rsid w:val="0060429B"/>
    <w:rsid w:val="0061014E"/>
    <w:rsid w:val="00643849"/>
    <w:rsid w:val="00664A9D"/>
    <w:rsid w:val="006972D6"/>
    <w:rsid w:val="006A0AE0"/>
    <w:rsid w:val="006B75B8"/>
    <w:rsid w:val="006C5904"/>
    <w:rsid w:val="006D647B"/>
    <w:rsid w:val="006D7339"/>
    <w:rsid w:val="006E5DD9"/>
    <w:rsid w:val="006F09CE"/>
    <w:rsid w:val="006F15B6"/>
    <w:rsid w:val="006F5384"/>
    <w:rsid w:val="00701CEA"/>
    <w:rsid w:val="007068E2"/>
    <w:rsid w:val="00706A89"/>
    <w:rsid w:val="0071055C"/>
    <w:rsid w:val="007173C3"/>
    <w:rsid w:val="00722C96"/>
    <w:rsid w:val="0073717D"/>
    <w:rsid w:val="00737BD9"/>
    <w:rsid w:val="00744F02"/>
    <w:rsid w:val="007467E8"/>
    <w:rsid w:val="00747F53"/>
    <w:rsid w:val="007518A7"/>
    <w:rsid w:val="007537A7"/>
    <w:rsid w:val="00766802"/>
    <w:rsid w:val="0077357D"/>
    <w:rsid w:val="007B477F"/>
    <w:rsid w:val="007B663E"/>
    <w:rsid w:val="007C432E"/>
    <w:rsid w:val="007C721F"/>
    <w:rsid w:val="007E2B33"/>
    <w:rsid w:val="007E370D"/>
    <w:rsid w:val="0080340F"/>
    <w:rsid w:val="00822D9C"/>
    <w:rsid w:val="00846BC5"/>
    <w:rsid w:val="008476EC"/>
    <w:rsid w:val="0086139A"/>
    <w:rsid w:val="008651F1"/>
    <w:rsid w:val="00876AF3"/>
    <w:rsid w:val="008805EB"/>
    <w:rsid w:val="00880A64"/>
    <w:rsid w:val="0088120D"/>
    <w:rsid w:val="00881C93"/>
    <w:rsid w:val="00886754"/>
    <w:rsid w:val="00887E7F"/>
    <w:rsid w:val="008925CF"/>
    <w:rsid w:val="008A2401"/>
    <w:rsid w:val="008A6F6D"/>
    <w:rsid w:val="008C4B4F"/>
    <w:rsid w:val="008C5C1A"/>
    <w:rsid w:val="008D6BB9"/>
    <w:rsid w:val="008E00C4"/>
    <w:rsid w:val="008E59F7"/>
    <w:rsid w:val="0091611B"/>
    <w:rsid w:val="00937F0F"/>
    <w:rsid w:val="00942110"/>
    <w:rsid w:val="00952990"/>
    <w:rsid w:val="0095302E"/>
    <w:rsid w:val="00957607"/>
    <w:rsid w:val="00983548"/>
    <w:rsid w:val="00985A4C"/>
    <w:rsid w:val="009969A7"/>
    <w:rsid w:val="009A47ED"/>
    <w:rsid w:val="009A60FB"/>
    <w:rsid w:val="009B09B1"/>
    <w:rsid w:val="009B4EF5"/>
    <w:rsid w:val="009B699D"/>
    <w:rsid w:val="009D5AA0"/>
    <w:rsid w:val="00A06434"/>
    <w:rsid w:val="00A06935"/>
    <w:rsid w:val="00A06CB8"/>
    <w:rsid w:val="00A1295B"/>
    <w:rsid w:val="00A22500"/>
    <w:rsid w:val="00A36BEF"/>
    <w:rsid w:val="00A37ACA"/>
    <w:rsid w:val="00A406E0"/>
    <w:rsid w:val="00A52C5C"/>
    <w:rsid w:val="00A54064"/>
    <w:rsid w:val="00A570C4"/>
    <w:rsid w:val="00A6701C"/>
    <w:rsid w:val="00A70AA6"/>
    <w:rsid w:val="00A75591"/>
    <w:rsid w:val="00A75844"/>
    <w:rsid w:val="00A824FF"/>
    <w:rsid w:val="00A840A2"/>
    <w:rsid w:val="00A850BC"/>
    <w:rsid w:val="00A86F53"/>
    <w:rsid w:val="00A92DB0"/>
    <w:rsid w:val="00A94B41"/>
    <w:rsid w:val="00A94FEF"/>
    <w:rsid w:val="00AC2130"/>
    <w:rsid w:val="00AC2CB9"/>
    <w:rsid w:val="00AD0A54"/>
    <w:rsid w:val="00AD4602"/>
    <w:rsid w:val="00AE09FA"/>
    <w:rsid w:val="00AE3055"/>
    <w:rsid w:val="00AE42B6"/>
    <w:rsid w:val="00AE4674"/>
    <w:rsid w:val="00AF51AB"/>
    <w:rsid w:val="00B177C7"/>
    <w:rsid w:val="00B22952"/>
    <w:rsid w:val="00B22EC2"/>
    <w:rsid w:val="00B31DAA"/>
    <w:rsid w:val="00B40C67"/>
    <w:rsid w:val="00B441C1"/>
    <w:rsid w:val="00B5638D"/>
    <w:rsid w:val="00B5755B"/>
    <w:rsid w:val="00B60295"/>
    <w:rsid w:val="00BA0A67"/>
    <w:rsid w:val="00BA3346"/>
    <w:rsid w:val="00BA7D67"/>
    <w:rsid w:val="00BB45AF"/>
    <w:rsid w:val="00BB7419"/>
    <w:rsid w:val="00BB798E"/>
    <w:rsid w:val="00BD2CD3"/>
    <w:rsid w:val="00BD7E17"/>
    <w:rsid w:val="00BE5E87"/>
    <w:rsid w:val="00BE6FBD"/>
    <w:rsid w:val="00BF14BD"/>
    <w:rsid w:val="00BF3312"/>
    <w:rsid w:val="00BF4083"/>
    <w:rsid w:val="00BF7EE0"/>
    <w:rsid w:val="00C57224"/>
    <w:rsid w:val="00C62496"/>
    <w:rsid w:val="00C64AAF"/>
    <w:rsid w:val="00C758D2"/>
    <w:rsid w:val="00C862CD"/>
    <w:rsid w:val="00C87700"/>
    <w:rsid w:val="00C90022"/>
    <w:rsid w:val="00C93494"/>
    <w:rsid w:val="00C94865"/>
    <w:rsid w:val="00C979C4"/>
    <w:rsid w:val="00CA5A49"/>
    <w:rsid w:val="00CB27E3"/>
    <w:rsid w:val="00CC08F1"/>
    <w:rsid w:val="00CC4362"/>
    <w:rsid w:val="00CD19D6"/>
    <w:rsid w:val="00D048E1"/>
    <w:rsid w:val="00D141F5"/>
    <w:rsid w:val="00D32086"/>
    <w:rsid w:val="00D47803"/>
    <w:rsid w:val="00D50E66"/>
    <w:rsid w:val="00D76B64"/>
    <w:rsid w:val="00D939B1"/>
    <w:rsid w:val="00D93D49"/>
    <w:rsid w:val="00D97228"/>
    <w:rsid w:val="00DA0D0E"/>
    <w:rsid w:val="00DB671F"/>
    <w:rsid w:val="00DD2247"/>
    <w:rsid w:val="00E021DB"/>
    <w:rsid w:val="00E10704"/>
    <w:rsid w:val="00E1296F"/>
    <w:rsid w:val="00E22D1D"/>
    <w:rsid w:val="00E314DC"/>
    <w:rsid w:val="00E34B58"/>
    <w:rsid w:val="00E44492"/>
    <w:rsid w:val="00E4659E"/>
    <w:rsid w:val="00E47A95"/>
    <w:rsid w:val="00E6053D"/>
    <w:rsid w:val="00E608DB"/>
    <w:rsid w:val="00E65B3A"/>
    <w:rsid w:val="00E86E40"/>
    <w:rsid w:val="00E94EAD"/>
    <w:rsid w:val="00EA5CDE"/>
    <w:rsid w:val="00EC0821"/>
    <w:rsid w:val="00EC619B"/>
    <w:rsid w:val="00ED1567"/>
    <w:rsid w:val="00ED442A"/>
    <w:rsid w:val="00ED50FD"/>
    <w:rsid w:val="00ED7660"/>
    <w:rsid w:val="00EE3554"/>
    <w:rsid w:val="00EF44F1"/>
    <w:rsid w:val="00F026F7"/>
    <w:rsid w:val="00F1304B"/>
    <w:rsid w:val="00F1528D"/>
    <w:rsid w:val="00F45901"/>
    <w:rsid w:val="00F470A6"/>
    <w:rsid w:val="00F72EB7"/>
    <w:rsid w:val="00F736D3"/>
    <w:rsid w:val="00F91B8C"/>
    <w:rsid w:val="00FA5FEB"/>
    <w:rsid w:val="00FB2572"/>
    <w:rsid w:val="00FC3CFE"/>
    <w:rsid w:val="00FC65D2"/>
    <w:rsid w:val="00FC77A0"/>
    <w:rsid w:val="00FD03F6"/>
    <w:rsid w:val="00FD14C3"/>
    <w:rsid w:val="00FD43D2"/>
    <w:rsid w:val="00FD6027"/>
    <w:rsid w:val="00FE0CE2"/>
    <w:rsid w:val="00FF5E62"/>
    <w:rsid w:val="00FF661B"/>
    <w:rsid w:val="00FF70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customStyle="1" w:styleId="BodyTextChar">
    <w:name w:val="Body Text Char"/>
    <w:link w:val="BodyText"/>
    <w:rsid w:val="00217BB4"/>
    <w:rPr>
      <w:sz w:val="26"/>
    </w:rPr>
  </w:style>
  <w:style w:type="character" w:customStyle="1" w:styleId="apple-style-span">
    <w:name w:val="apple-style-span"/>
    <w:rsid w:val="0077357D"/>
  </w:style>
  <w:style w:type="paragraph" w:customStyle="1" w:styleId="ListParagraph1">
    <w:name w:val="List Paragraph1"/>
    <w:basedOn w:val="Normal"/>
    <w:uiPriority w:val="34"/>
    <w:qFormat/>
    <w:rsid w:val="0077357D"/>
    <w:pPr>
      <w:spacing w:after="200" w:line="276" w:lineRule="auto"/>
      <w:ind w:left="720"/>
      <w:contextualSpacing/>
    </w:pPr>
    <w:rPr>
      <w:rFonts w:ascii="Calibri" w:eastAsia="Calibri" w:hAnsi="Calibri"/>
      <w:sz w:val="22"/>
      <w:szCs w:val="22"/>
      <w:lang w:eastAsia="en-US"/>
    </w:rPr>
  </w:style>
  <w:style w:type="character" w:customStyle="1" w:styleId="right">
    <w:name w:val="right"/>
    <w:rsid w:val="0077357D"/>
  </w:style>
  <w:style w:type="character" w:customStyle="1" w:styleId="iubsearch-contractname">
    <w:name w:val="iubsearch-contractname"/>
    <w:rsid w:val="00BB7419"/>
  </w:style>
  <w:style w:type="paragraph" w:styleId="Header">
    <w:name w:val="header"/>
    <w:basedOn w:val="Normal"/>
    <w:link w:val="HeaderChar"/>
    <w:rsid w:val="00706A89"/>
    <w:pPr>
      <w:tabs>
        <w:tab w:val="center" w:pos="4320"/>
        <w:tab w:val="right" w:pos="8640"/>
      </w:tabs>
    </w:pPr>
    <w:rPr>
      <w:rFonts w:ascii="Teutonica" w:hAnsi="Teutonica"/>
      <w:szCs w:val="20"/>
      <w:lang w:eastAsia="en-US"/>
    </w:rPr>
  </w:style>
  <w:style w:type="character" w:customStyle="1" w:styleId="HeaderChar">
    <w:name w:val="Header Char"/>
    <w:link w:val="Header"/>
    <w:rsid w:val="00706A89"/>
    <w:rPr>
      <w:rFonts w:ascii="Teutonica" w:hAnsi="Teutonica"/>
      <w:sz w:val="24"/>
      <w:lang w:eastAsia="en-US"/>
    </w:rPr>
  </w:style>
  <w:style w:type="character" w:styleId="Emphasis">
    <w:name w:val="Emphasis"/>
    <w:uiPriority w:val="20"/>
    <w:qFormat/>
    <w:rsid w:val="00886754"/>
    <w:rPr>
      <w:i/>
      <w:iCs/>
    </w:rPr>
  </w:style>
  <w:style w:type="character" w:customStyle="1" w:styleId="apple-converted-space">
    <w:name w:val="apple-converted-space"/>
    <w:rsid w:val="00886754"/>
  </w:style>
  <w:style w:type="character" w:styleId="Hyperlink">
    <w:name w:val="Hyperlink"/>
    <w:rsid w:val="00886754"/>
    <w:rPr>
      <w:color w:val="0000FF"/>
      <w:u w:val="single"/>
    </w:rPr>
  </w:style>
  <w:style w:type="paragraph" w:customStyle="1" w:styleId="Default">
    <w:name w:val="Default"/>
    <w:rsid w:val="002B67C0"/>
    <w:pPr>
      <w:autoSpaceDE w:val="0"/>
      <w:autoSpaceDN w:val="0"/>
      <w:adjustRightInd w:val="0"/>
    </w:pPr>
    <w:rPr>
      <w:color w:val="000000"/>
      <w:sz w:val="24"/>
      <w:szCs w:val="24"/>
      <w:lang w:val="ru-RU" w:eastAsia="ru-RU"/>
    </w:rPr>
  </w:style>
  <w:style w:type="paragraph" w:customStyle="1" w:styleId="Rindkopa">
    <w:name w:val="Rindkopa"/>
    <w:basedOn w:val="Normal"/>
    <w:next w:val="Normal"/>
    <w:rsid w:val="00737BD9"/>
    <w:pPr>
      <w:ind w:left="851"/>
      <w:jc w:val="both"/>
    </w:pPr>
    <w:rPr>
      <w:rFonts w:ascii="Arial" w:hAnsi="Arial"/>
      <w:sz w:val="20"/>
    </w:rPr>
  </w:style>
  <w:style w:type="paragraph" w:styleId="ListParagraph">
    <w:name w:val="List Paragraph"/>
    <w:basedOn w:val="Normal"/>
    <w:uiPriority w:val="72"/>
    <w:rsid w:val="00467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customStyle="1" w:styleId="BodyTextChar">
    <w:name w:val="Body Text Char"/>
    <w:link w:val="BodyText"/>
    <w:rsid w:val="00217BB4"/>
    <w:rPr>
      <w:sz w:val="26"/>
    </w:rPr>
  </w:style>
  <w:style w:type="character" w:customStyle="1" w:styleId="apple-style-span">
    <w:name w:val="apple-style-span"/>
    <w:rsid w:val="0077357D"/>
  </w:style>
  <w:style w:type="paragraph" w:customStyle="1" w:styleId="ListParagraph1">
    <w:name w:val="List Paragraph1"/>
    <w:basedOn w:val="Normal"/>
    <w:uiPriority w:val="34"/>
    <w:qFormat/>
    <w:rsid w:val="0077357D"/>
    <w:pPr>
      <w:spacing w:after="200" w:line="276" w:lineRule="auto"/>
      <w:ind w:left="720"/>
      <w:contextualSpacing/>
    </w:pPr>
    <w:rPr>
      <w:rFonts w:ascii="Calibri" w:eastAsia="Calibri" w:hAnsi="Calibri"/>
      <w:sz w:val="22"/>
      <w:szCs w:val="22"/>
      <w:lang w:eastAsia="en-US"/>
    </w:rPr>
  </w:style>
  <w:style w:type="character" w:customStyle="1" w:styleId="right">
    <w:name w:val="right"/>
    <w:rsid w:val="0077357D"/>
  </w:style>
  <w:style w:type="character" w:customStyle="1" w:styleId="iubsearch-contractname">
    <w:name w:val="iubsearch-contractname"/>
    <w:rsid w:val="00BB7419"/>
  </w:style>
  <w:style w:type="paragraph" w:styleId="Header">
    <w:name w:val="header"/>
    <w:basedOn w:val="Normal"/>
    <w:link w:val="HeaderChar"/>
    <w:rsid w:val="00706A89"/>
    <w:pPr>
      <w:tabs>
        <w:tab w:val="center" w:pos="4320"/>
        <w:tab w:val="right" w:pos="8640"/>
      </w:tabs>
    </w:pPr>
    <w:rPr>
      <w:rFonts w:ascii="Teutonica" w:hAnsi="Teutonica"/>
      <w:szCs w:val="20"/>
      <w:lang w:eastAsia="en-US"/>
    </w:rPr>
  </w:style>
  <w:style w:type="character" w:customStyle="1" w:styleId="HeaderChar">
    <w:name w:val="Header Char"/>
    <w:link w:val="Header"/>
    <w:rsid w:val="00706A89"/>
    <w:rPr>
      <w:rFonts w:ascii="Teutonica" w:hAnsi="Teutonica"/>
      <w:sz w:val="24"/>
      <w:lang w:eastAsia="en-US"/>
    </w:rPr>
  </w:style>
  <w:style w:type="character" w:styleId="Emphasis">
    <w:name w:val="Emphasis"/>
    <w:uiPriority w:val="20"/>
    <w:qFormat/>
    <w:rsid w:val="00886754"/>
    <w:rPr>
      <w:i/>
      <w:iCs/>
    </w:rPr>
  </w:style>
  <w:style w:type="character" w:customStyle="1" w:styleId="apple-converted-space">
    <w:name w:val="apple-converted-space"/>
    <w:rsid w:val="00886754"/>
  </w:style>
  <w:style w:type="character" w:styleId="Hyperlink">
    <w:name w:val="Hyperlink"/>
    <w:rsid w:val="00886754"/>
    <w:rPr>
      <w:color w:val="0000FF"/>
      <w:u w:val="single"/>
    </w:rPr>
  </w:style>
  <w:style w:type="paragraph" w:customStyle="1" w:styleId="Default">
    <w:name w:val="Default"/>
    <w:rsid w:val="002B67C0"/>
    <w:pPr>
      <w:autoSpaceDE w:val="0"/>
      <w:autoSpaceDN w:val="0"/>
      <w:adjustRightInd w:val="0"/>
    </w:pPr>
    <w:rPr>
      <w:color w:val="000000"/>
      <w:sz w:val="24"/>
      <w:szCs w:val="24"/>
      <w:lang w:val="ru-RU" w:eastAsia="ru-RU"/>
    </w:rPr>
  </w:style>
  <w:style w:type="paragraph" w:customStyle="1" w:styleId="Rindkopa">
    <w:name w:val="Rindkopa"/>
    <w:basedOn w:val="Normal"/>
    <w:next w:val="Normal"/>
    <w:rsid w:val="00737BD9"/>
    <w:pPr>
      <w:ind w:left="851"/>
      <w:jc w:val="both"/>
    </w:pPr>
    <w:rPr>
      <w:rFonts w:ascii="Arial" w:hAnsi="Arial"/>
      <w:sz w:val="20"/>
    </w:rPr>
  </w:style>
  <w:style w:type="paragraph" w:styleId="ListParagraph">
    <w:name w:val="List Paragraph"/>
    <w:basedOn w:val="Normal"/>
    <w:uiPriority w:val="72"/>
    <w:rsid w:val="00467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2962">
      <w:bodyDiv w:val="1"/>
      <w:marLeft w:val="0"/>
      <w:marRight w:val="0"/>
      <w:marTop w:val="0"/>
      <w:marBottom w:val="0"/>
      <w:divBdr>
        <w:top w:val="none" w:sz="0" w:space="0" w:color="auto"/>
        <w:left w:val="none" w:sz="0" w:space="0" w:color="auto"/>
        <w:bottom w:val="none" w:sz="0" w:space="0" w:color="auto"/>
        <w:right w:val="none" w:sz="0" w:space="0" w:color="auto"/>
      </w:divBdr>
    </w:div>
    <w:div w:id="651953084">
      <w:bodyDiv w:val="1"/>
      <w:marLeft w:val="0"/>
      <w:marRight w:val="0"/>
      <w:marTop w:val="0"/>
      <w:marBottom w:val="0"/>
      <w:divBdr>
        <w:top w:val="none" w:sz="0" w:space="0" w:color="auto"/>
        <w:left w:val="none" w:sz="0" w:space="0" w:color="auto"/>
        <w:bottom w:val="none" w:sz="0" w:space="0" w:color="auto"/>
        <w:right w:val="none" w:sz="0" w:space="0" w:color="auto"/>
      </w:divBdr>
    </w:div>
    <w:div w:id="1066220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0F02-1AE4-4A8A-875B-7DFADB5D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1078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Iepirkuma kura vērtība pārsniedz Ls 1000, bet nepārsniedz Ls 10000, ident</vt:lpstr>
    </vt:vector>
  </TitlesOfParts>
  <Company>Rigas Dome</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Uģis</dc:creator>
  <cp:lastModifiedBy>NB7</cp:lastModifiedBy>
  <cp:revision>2</cp:revision>
  <cp:lastPrinted>2013-07-02T11:58:00Z</cp:lastPrinted>
  <dcterms:created xsi:type="dcterms:W3CDTF">2015-10-08T12:35:00Z</dcterms:created>
  <dcterms:modified xsi:type="dcterms:W3CDTF">2015-10-08T12:35:00Z</dcterms:modified>
</cp:coreProperties>
</file>