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547" w:rsidRPr="00F55547" w:rsidRDefault="00F55547" w:rsidP="00F55547">
      <w:pPr>
        <w:rPr>
          <w:b/>
        </w:rPr>
      </w:pPr>
    </w:p>
    <w:p w:rsidR="00F55547" w:rsidRPr="00F55547" w:rsidRDefault="00F55547" w:rsidP="00F55547">
      <w:pPr>
        <w:jc w:val="right"/>
        <w:rPr>
          <w:b/>
        </w:rPr>
      </w:pPr>
    </w:p>
    <w:p w:rsidR="00F55547" w:rsidRPr="00F55547" w:rsidRDefault="00F55547" w:rsidP="00F55547">
      <w:pPr>
        <w:jc w:val="right"/>
        <w:rPr>
          <w:b/>
        </w:rPr>
      </w:pPr>
      <w:r w:rsidRPr="00F55547">
        <w:rPr>
          <w:b/>
        </w:rPr>
        <w:t>Ieinteresētajiem piegādātājiem</w:t>
      </w:r>
    </w:p>
    <w:p w:rsidR="00F55547" w:rsidRPr="00F55547" w:rsidRDefault="00F55547" w:rsidP="00F55547">
      <w:pPr>
        <w:rPr>
          <w:b/>
        </w:rPr>
      </w:pPr>
    </w:p>
    <w:p w:rsidR="00F55547" w:rsidRPr="00F55547" w:rsidRDefault="00F55547" w:rsidP="00F55547">
      <w:pPr>
        <w:rPr>
          <w:b/>
        </w:rPr>
      </w:pPr>
      <w:r w:rsidRPr="00F55547">
        <w:rPr>
          <w:b/>
        </w:rPr>
        <w:t>Par iepirkuma procedūras dokumentācijā noteiktajām prasībām</w:t>
      </w:r>
    </w:p>
    <w:p w:rsidR="00F55547" w:rsidRPr="00F55547" w:rsidRDefault="00F55547" w:rsidP="00F55547">
      <w:pPr>
        <w:jc w:val="both"/>
      </w:pPr>
    </w:p>
    <w:p w:rsidR="00F55547" w:rsidRPr="00F55547" w:rsidRDefault="00F55547" w:rsidP="00F55547">
      <w:pPr>
        <w:ind w:firstLine="720"/>
        <w:jc w:val="both"/>
      </w:pPr>
      <w:r w:rsidRPr="00F55547">
        <w:t xml:space="preserve">Jelgavas Tehnikums (turpmāk – Pasūtītājs) 2013.gada 24.jūlijā Iepirkumu uzraudzības biroja mājas lapā internetā publicēja paziņojumu par līgumu iepirkuma procedūrai – atklātam konkursam „Jelgavas Tehnikuma rekonstrukcija”, identifikācijas Nr. JT 2013/8  (turpmāk – Iepirkuma procedūra). </w:t>
      </w:r>
    </w:p>
    <w:p w:rsidR="00F55547" w:rsidRPr="00F55547" w:rsidRDefault="00F55547" w:rsidP="00F55547">
      <w:pPr>
        <w:ind w:firstLine="720"/>
        <w:jc w:val="both"/>
      </w:pPr>
    </w:p>
    <w:p w:rsidR="00F55547" w:rsidRPr="00F55547" w:rsidRDefault="00F55547" w:rsidP="00F55547">
      <w:pPr>
        <w:ind w:firstLine="720"/>
        <w:jc w:val="both"/>
      </w:pPr>
      <w:r w:rsidRPr="00F55547">
        <w:t>Pasūtītājs Iepirkuma procedūras ietvaros ir saņēmis ieinteresētā piegādātāja jautājumus par Iepirkuma procedūras dokumentācijā noteiktajām prasībām un, pamatojoties uz Publisko iepirkumu likuma 30.panta trešo un ceturto daļu, sniedz šādu papildus informāciju:</w:t>
      </w:r>
    </w:p>
    <w:p w:rsidR="00F55547" w:rsidRPr="00F55547" w:rsidRDefault="00F55547" w:rsidP="00F55547">
      <w:pPr>
        <w:jc w:val="both"/>
      </w:pPr>
    </w:p>
    <w:p w:rsidR="00F55547" w:rsidRPr="00F55547" w:rsidRDefault="00F55547" w:rsidP="00F55547">
      <w:pPr>
        <w:jc w:val="both"/>
        <w:rPr>
          <w:b/>
          <w:u w:val="single"/>
        </w:rPr>
      </w:pPr>
      <w:r w:rsidRPr="00F55547">
        <w:rPr>
          <w:b/>
          <w:u w:val="single"/>
        </w:rPr>
        <w:t>Jautājums</w:t>
      </w:r>
    </w:p>
    <w:p w:rsidR="00F55547" w:rsidRPr="00F55547" w:rsidRDefault="00F55547" w:rsidP="00F55547">
      <w:pPr>
        <w:jc w:val="both"/>
      </w:pPr>
      <w:r w:rsidRPr="00F55547">
        <w:t xml:space="preserve">Lūdzam Jelgavas tehnikumu paredzēt būvdarbu izpildi, kur darbības laikā pilnībā tiek atbrīvots visas skolas ēkas būvdarbu veikšanai vai arī risināt jautājumu par būvdarbu izpildes termiņu pagarinājumu. </w:t>
      </w:r>
    </w:p>
    <w:p w:rsidR="00F55547" w:rsidRPr="00F55547" w:rsidRDefault="00F55547" w:rsidP="00F55547">
      <w:pPr>
        <w:jc w:val="both"/>
      </w:pPr>
      <w:r w:rsidRPr="00F55547">
        <w:rPr>
          <w:b/>
        </w:rPr>
        <w:t xml:space="preserve">Atbilde: </w:t>
      </w:r>
      <w:r w:rsidRPr="00F55547">
        <w:t>Lai nodrošinātu papildus telpas, kurās darbu izpildes laikā izvietot skolu un kurās varētu nodrošināt mācību procesu, ir nepieciešami papildus izdevumi, kuri nav paredzēti Pasūtītāja budžetā, ar ko skolas darbības pārtraukšana objektā Pulkveža O.Kalpaka ielā 37 nav iespējama. Papildus informējam, ka būvdarbu veikšanas aktivitātes tiek līdzfiansētas no Eiropas Reģionālās attīstības fonda 3.1.1.1.aktivitātes „Mācību aprīkojuma modernizāciju un infrastruktūras uzlabošana profesionālās izlgītības programmu īstenošanai”. Minētā projekta ietvaros visas aktivitātes ir jāizpilda līdz 2015.gada 31.jūlijam. Izvērtējot minēto projekta ieviešanas gala termiņu Pasūtītājs arī nolēma noteikt darbu izpildes termiņu 16 mēneši (līgumu plānots noslēgt 2013.gada decembrī). Garāka būvdarbu izpildes termiņa noteikšana radītu risku projekta neieviešanai un līdzfinansējuma nesaņemšanai no Eiorpas Reģionālās attīstības fonda. Līdz ar to, būvdarbu izpildes termiņš nevar tikt pagarināts. Papildus in</w:t>
      </w:r>
      <w:r>
        <w:t>f</w:t>
      </w:r>
      <w:r w:rsidRPr="00F55547">
        <w:t>o</w:t>
      </w:r>
      <w:r>
        <w:t>r</w:t>
      </w:r>
      <w:r w:rsidRPr="00F55547">
        <w:t>mēj</w:t>
      </w:r>
      <w:r>
        <w:t>am</w:t>
      </w:r>
      <w:r w:rsidRPr="00F55547">
        <w:t xml:space="preserve">, ka 2013.gada 05.augustā </w:t>
      </w:r>
      <w:r>
        <w:t>tika izdarīti</w:t>
      </w:r>
      <w:r w:rsidRPr="00F55547">
        <w:t xml:space="preserve"> grozījum</w:t>
      </w:r>
      <w:r>
        <w:t>i</w:t>
      </w:r>
      <w:r w:rsidRPr="00F55547">
        <w:t xml:space="preserve"> Iepirkuma procedūras nolikumā, papildinot izpildītāja atbildību par objekta nepārtrauktības neievērošanu. Grozījumi ir pieejami Pasūtītāja mājas lapā pie Iepirkuma procedūras dokumentācijas -  http://www.jelgavastehnikums.lv/iepirkumi-mm.          </w:t>
      </w:r>
    </w:p>
    <w:p w:rsidR="00F55547" w:rsidRPr="00F55547" w:rsidRDefault="00F55547" w:rsidP="00F55547">
      <w:pPr>
        <w:ind w:firstLine="720"/>
        <w:jc w:val="both"/>
      </w:pPr>
    </w:p>
    <w:p w:rsidR="00F55547" w:rsidRPr="00F55547" w:rsidRDefault="00F55547" w:rsidP="00F55547">
      <w:pPr>
        <w:jc w:val="both"/>
        <w:rPr>
          <w:b/>
          <w:u w:val="single"/>
        </w:rPr>
      </w:pPr>
      <w:r w:rsidRPr="00F55547">
        <w:rPr>
          <w:b/>
          <w:u w:val="single"/>
        </w:rPr>
        <w:t>Jautājums</w:t>
      </w:r>
    </w:p>
    <w:p w:rsidR="00F55547" w:rsidRPr="00F55547" w:rsidRDefault="00F55547" w:rsidP="00F55547">
      <w:pPr>
        <w:spacing w:after="120"/>
        <w:jc w:val="both"/>
      </w:pPr>
      <w:r w:rsidRPr="00F55547">
        <w:t>Būvapjomos Nr1_BA lokālajā tāmē Nr.3-6 ir pozīcija – pieslēguma ierīkošanas izmaksas. ELT sadaļas paskaidrojumā rakstā ir minēta gan esošo tīklu pārbūve, kas saistīta ar esošo pieslēgumu, gan arī atsevišķs ELT projekts (A/S Sadales tīkls daļa) Lūdzu precizēt, kādi darbi jāiekļauj šajā pozīcijā!</w:t>
      </w:r>
    </w:p>
    <w:p w:rsidR="00F55547" w:rsidRPr="00F55547" w:rsidRDefault="00F55547" w:rsidP="00F55547">
      <w:pPr>
        <w:spacing w:after="120"/>
        <w:jc w:val="both"/>
      </w:pPr>
      <w:r w:rsidRPr="00F55547">
        <w:rPr>
          <w:b/>
        </w:rPr>
        <w:t>Atbilde:</w:t>
      </w:r>
      <w:r w:rsidRPr="00F55547">
        <w:t xml:space="preserve"> Atbilstoši „Jelgavas Tehnikuma”  pieprasījumam un AS”Sadales tīkls” izdotajiem Tehniskiem noteikumiem paredzēts pārvietot uzskaites (4.gab) un palielināt pieslēgumiem esošo jaudu (3.gab). </w:t>
      </w:r>
    </w:p>
    <w:p w:rsidR="00F55547" w:rsidRPr="00F55547" w:rsidRDefault="00F55547" w:rsidP="00F55547">
      <w:pPr>
        <w:jc w:val="both"/>
      </w:pPr>
      <w:r w:rsidRPr="00F55547">
        <w:t>Būvapjomu Nr.1_BA lokālajā tāmē Nr.3-6 pozīcijā pieslēguma ierīkošanas izmaksas ir jāparedz šādas aktivitātes:</w:t>
      </w:r>
    </w:p>
    <w:p w:rsidR="00F55547" w:rsidRPr="00F55547" w:rsidRDefault="00F55547" w:rsidP="00F55547">
      <w:pPr>
        <w:jc w:val="both"/>
      </w:pPr>
      <w:r w:rsidRPr="00F55547">
        <w:t>1.</w:t>
      </w:r>
      <w:r w:rsidRPr="00F55547">
        <w:tab/>
        <w:t>10kV atdalītāja ar drošinātājiem (1032/1) nomaiņa;</w:t>
      </w:r>
    </w:p>
    <w:p w:rsidR="00F55547" w:rsidRPr="00F55547" w:rsidRDefault="00F55547" w:rsidP="00F55547">
      <w:pPr>
        <w:jc w:val="both"/>
      </w:pPr>
      <w:r w:rsidRPr="00F55547">
        <w:t>2.</w:t>
      </w:r>
      <w:r w:rsidRPr="00F55547">
        <w:tab/>
        <w:t>10kV kabeļa saites (1032/1 – T-1) izbūve 10m,</w:t>
      </w:r>
    </w:p>
    <w:p w:rsidR="00F55547" w:rsidRPr="00F55547" w:rsidRDefault="00F55547" w:rsidP="00F55547">
      <w:pPr>
        <w:jc w:val="both"/>
      </w:pPr>
      <w:r w:rsidRPr="00F55547">
        <w:lastRenderedPageBreak/>
        <w:t>3.</w:t>
      </w:r>
      <w:r w:rsidRPr="00F55547">
        <w:tab/>
        <w:t>TP-1032 esoša 10/0.4kV tr-ra (400kVA) demontāža un jauna 10/0.4kV transformatora uzstādīšana (630kVA);</w:t>
      </w:r>
    </w:p>
    <w:p w:rsidR="00F55547" w:rsidRPr="00F55547" w:rsidRDefault="00F55547" w:rsidP="00F55547">
      <w:pPr>
        <w:jc w:val="both"/>
      </w:pPr>
      <w:r w:rsidRPr="00F55547">
        <w:t>4.</w:t>
      </w:r>
      <w:r w:rsidRPr="00F55547">
        <w:tab/>
        <w:t>Esoša galvenā 0.4kV slēdža T-01 ar drošinātājiem demontāža un jauna 0.4kV drošinātājslēdža izbūve;</w:t>
      </w:r>
    </w:p>
    <w:p w:rsidR="00F55547" w:rsidRPr="00F55547" w:rsidRDefault="00F55547" w:rsidP="00F55547">
      <w:pPr>
        <w:jc w:val="both"/>
      </w:pPr>
      <w:r w:rsidRPr="00F55547">
        <w:t>5.</w:t>
      </w:r>
      <w:r w:rsidRPr="00F55547">
        <w:tab/>
        <w:t>Esošo TP-1032 grupu Z-9, Z-10, Z-11 un Z-12 drošinātāju/drošinātājnažu nomaiņa;</w:t>
      </w:r>
    </w:p>
    <w:p w:rsidR="00F55547" w:rsidRPr="00F55547" w:rsidRDefault="00F55547" w:rsidP="00F55547">
      <w:pPr>
        <w:jc w:val="both"/>
      </w:pPr>
      <w:r w:rsidRPr="00F55547">
        <w:t>6.</w:t>
      </w:r>
      <w:r w:rsidRPr="00F55547">
        <w:tab/>
        <w:t>Jauno 0.4kV kabeļu izvadu izbūve no TP-1032 0.4kV sadalnes līdz no jauna izbūvējamām uzskaites sadalnēm US1, US-2, US-3 un US-4 20m;</w:t>
      </w:r>
    </w:p>
    <w:p w:rsidR="00F55547" w:rsidRDefault="00F55547" w:rsidP="00F55547">
      <w:pPr>
        <w:jc w:val="both"/>
      </w:pPr>
      <w:r w:rsidRPr="00F55547">
        <w:t>7.</w:t>
      </w:r>
      <w:r w:rsidRPr="00F55547">
        <w:tab/>
        <w:t>Uzskaites sadaļnu US-1 līdz US-4 izbūve pie TP-1032 sienas, esošo vai projektējamo pēcuzskaites kabeļu pārslēgšana pie jaunas uzskaites.</w:t>
      </w:r>
    </w:p>
    <w:p w:rsidR="00F55547" w:rsidRPr="00F55547" w:rsidRDefault="00F55547" w:rsidP="00F55547">
      <w:pPr>
        <w:jc w:val="both"/>
      </w:pPr>
    </w:p>
    <w:p w:rsidR="00F55547" w:rsidRPr="00F55547" w:rsidRDefault="00F55547" w:rsidP="00F55547">
      <w:pPr>
        <w:jc w:val="both"/>
        <w:rPr>
          <w:b/>
          <w:u w:val="single"/>
        </w:rPr>
      </w:pPr>
      <w:r w:rsidRPr="00F55547">
        <w:rPr>
          <w:b/>
          <w:u w:val="single"/>
        </w:rPr>
        <w:t>Jautājums</w:t>
      </w:r>
    </w:p>
    <w:p w:rsidR="00F55547" w:rsidRPr="00F55547" w:rsidRDefault="00F55547" w:rsidP="00F55547">
      <w:pPr>
        <w:spacing w:after="120"/>
        <w:jc w:val="both"/>
      </w:pPr>
      <w:r w:rsidRPr="00F55547">
        <w:t>Lūdzam veikt grozījumus Nolikuma 14.3.1. un 14.3.2. punktos atbilstoši Publisko iepirkumu likumam.</w:t>
      </w:r>
    </w:p>
    <w:p w:rsidR="00F55547" w:rsidRPr="00F55547" w:rsidRDefault="00F55547" w:rsidP="00F55547">
      <w:pPr>
        <w:spacing w:after="120"/>
        <w:jc w:val="both"/>
      </w:pPr>
      <w:r w:rsidRPr="00F55547">
        <w:rPr>
          <w:b/>
        </w:rPr>
        <w:t>Atbilde:</w:t>
      </w:r>
      <w:r w:rsidRPr="00F55547">
        <w:t xml:space="preserve"> Iepirkuma </w:t>
      </w:r>
      <w:r>
        <w:t xml:space="preserve">komisija informē, ka </w:t>
      </w:r>
      <w:r w:rsidRPr="00F55547">
        <w:t xml:space="preserve">2013.gada 05.augustā tika izdarīti grozījumi Iepirkuma procedūras nolikumā, </w:t>
      </w:r>
      <w:r>
        <w:t>ar kuriem tika grozīta Iepirkuma procedūras nolikuma 14.3.punkta redakcija</w:t>
      </w:r>
      <w:r w:rsidRPr="00F55547">
        <w:t xml:space="preserve">. Grozījumi ir pieejami Pasūtītāja mājas lapā pie Iepirkuma procedūras dokumentācijas -  http://www.jelgavastehnikums.lv/iepirkumi-mm. </w:t>
      </w:r>
    </w:p>
    <w:p w:rsidR="00F55547" w:rsidRPr="00F55547" w:rsidRDefault="00F55547" w:rsidP="00F55547">
      <w:pPr>
        <w:jc w:val="both"/>
      </w:pPr>
      <w:r w:rsidRPr="00F55547">
        <w:t>Iepirkuma komisija lūdz ieienteresētos piegādātājus ņemt vērā šajā punktā minēto informāciju, sagatavojot savu piedāvājumu Iepirkuma procedūrai.</w:t>
      </w:r>
    </w:p>
    <w:tbl>
      <w:tblPr>
        <w:tblW w:w="9747" w:type="dxa"/>
        <w:tblLayout w:type="fixed"/>
        <w:tblLook w:val="01E0" w:firstRow="1" w:lastRow="1" w:firstColumn="1" w:lastColumn="1" w:noHBand="0" w:noVBand="0"/>
      </w:tblPr>
      <w:tblGrid>
        <w:gridCol w:w="6228"/>
        <w:gridCol w:w="3519"/>
      </w:tblGrid>
      <w:tr w:rsidR="00F55547" w:rsidRPr="00F55547" w:rsidTr="0077314D">
        <w:tc>
          <w:tcPr>
            <w:tcW w:w="6228" w:type="dxa"/>
          </w:tcPr>
          <w:p w:rsidR="00F55547" w:rsidRPr="00F55547" w:rsidRDefault="00F55547" w:rsidP="00F55547">
            <w:pPr>
              <w:jc w:val="right"/>
              <w:rPr>
                <w:u w:val="single"/>
              </w:rPr>
            </w:pPr>
          </w:p>
        </w:tc>
        <w:tc>
          <w:tcPr>
            <w:tcW w:w="3519" w:type="dxa"/>
            <w:vAlign w:val="bottom"/>
          </w:tcPr>
          <w:p w:rsidR="00F55547" w:rsidRPr="00F55547" w:rsidRDefault="00F55547" w:rsidP="00F55547">
            <w:pPr>
              <w:jc w:val="right"/>
            </w:pPr>
          </w:p>
        </w:tc>
      </w:tr>
      <w:tr w:rsidR="00F55547" w:rsidRPr="00F55547" w:rsidTr="0077314D">
        <w:tc>
          <w:tcPr>
            <w:tcW w:w="6228" w:type="dxa"/>
          </w:tcPr>
          <w:p w:rsidR="00F55547" w:rsidRPr="00F55547" w:rsidRDefault="00F55547" w:rsidP="00F55547">
            <w:pPr>
              <w:jc w:val="right"/>
              <w:rPr>
                <w:u w:val="single"/>
              </w:rPr>
            </w:pPr>
          </w:p>
        </w:tc>
        <w:tc>
          <w:tcPr>
            <w:tcW w:w="3519" w:type="dxa"/>
            <w:vAlign w:val="bottom"/>
          </w:tcPr>
          <w:p w:rsidR="00F55547" w:rsidRPr="00F55547" w:rsidRDefault="00F55547" w:rsidP="00F55547">
            <w:pPr>
              <w:jc w:val="right"/>
              <w:outlineLvl w:val="0"/>
            </w:pPr>
          </w:p>
        </w:tc>
      </w:tr>
    </w:tbl>
    <w:p w:rsidR="00F55547" w:rsidRPr="00F55547" w:rsidRDefault="00F55547" w:rsidP="00F55547">
      <w:pPr>
        <w:rPr>
          <w:rFonts w:eastAsia="Cambria"/>
          <w:lang w:eastAsia="en-US"/>
        </w:rPr>
      </w:pPr>
      <w:r w:rsidRPr="00F55547">
        <w:rPr>
          <w:rFonts w:eastAsia="Cambria"/>
          <w:lang w:eastAsia="en-US"/>
        </w:rPr>
        <w:t>Iepirkuma</w:t>
      </w:r>
      <w:r w:rsidR="004A4E28">
        <w:rPr>
          <w:rFonts w:eastAsia="Cambria"/>
          <w:lang w:eastAsia="en-US"/>
        </w:rPr>
        <w:t xml:space="preserve"> komisijas priekšsēdētāja</w:t>
      </w:r>
      <w:r w:rsidR="004A4E28">
        <w:rPr>
          <w:rFonts w:eastAsia="Cambria"/>
          <w:lang w:eastAsia="en-US"/>
        </w:rPr>
        <w:tab/>
      </w:r>
      <w:r w:rsidR="004A4E28">
        <w:rPr>
          <w:rFonts w:eastAsia="Cambria"/>
          <w:lang w:eastAsia="en-US"/>
        </w:rPr>
        <w:tab/>
      </w:r>
      <w:r w:rsidR="004A4E28">
        <w:rPr>
          <w:rFonts w:eastAsia="Cambria"/>
          <w:lang w:eastAsia="en-US"/>
        </w:rPr>
        <w:tab/>
      </w:r>
      <w:r w:rsidR="004A4E28">
        <w:rPr>
          <w:rFonts w:eastAsia="Cambria"/>
          <w:lang w:eastAsia="en-US"/>
        </w:rPr>
        <w:tab/>
      </w:r>
      <w:r w:rsidR="004A4E28">
        <w:rPr>
          <w:rFonts w:eastAsia="Cambria"/>
          <w:lang w:eastAsia="en-US"/>
        </w:rPr>
        <w:tab/>
      </w:r>
      <w:bookmarkStart w:id="0" w:name="_GoBack"/>
      <w:bookmarkEnd w:id="0"/>
      <w:r w:rsidR="004A4E28" w:rsidRPr="004A4E28">
        <w:rPr>
          <w:rFonts w:eastAsia="Cambria"/>
          <w:lang w:eastAsia="en-US"/>
        </w:rPr>
        <w:t xml:space="preserve">Nona </w:t>
      </w:r>
      <w:proofErr w:type="spellStart"/>
      <w:r w:rsidR="004A4E28" w:rsidRPr="004A4E28">
        <w:rPr>
          <w:rFonts w:eastAsia="Cambria"/>
          <w:lang w:eastAsia="en-US"/>
        </w:rPr>
        <w:t>Jakušova</w:t>
      </w:r>
      <w:proofErr w:type="spellEnd"/>
      <w:r w:rsidRPr="00F55547">
        <w:rPr>
          <w:rFonts w:eastAsia="Cambria"/>
          <w:lang w:eastAsia="en-US"/>
        </w:rPr>
        <w:tab/>
      </w:r>
    </w:p>
    <w:p w:rsidR="00F55547" w:rsidRPr="00F55547" w:rsidRDefault="00F55547" w:rsidP="00F55547">
      <w:pPr>
        <w:rPr>
          <w:rFonts w:eastAsia="Cambria"/>
          <w:lang w:eastAsia="en-US"/>
        </w:rPr>
      </w:pPr>
    </w:p>
    <w:p w:rsidR="00F55547" w:rsidRPr="00F55547" w:rsidRDefault="00F55547" w:rsidP="00F55547">
      <w:pPr>
        <w:rPr>
          <w:rFonts w:eastAsia="Cambria"/>
          <w:i/>
          <w:sz w:val="20"/>
          <w:szCs w:val="20"/>
          <w:lang w:eastAsia="en-US"/>
        </w:rPr>
      </w:pPr>
      <w:r w:rsidRPr="00F55547">
        <w:rPr>
          <w:rFonts w:eastAsia="Cambria"/>
          <w:i/>
          <w:sz w:val="20"/>
          <w:szCs w:val="20"/>
          <w:lang w:eastAsia="en-US"/>
        </w:rPr>
        <w:t>Ligers, 28230393</w:t>
      </w:r>
      <w:r w:rsidRPr="00F55547">
        <w:rPr>
          <w:rFonts w:eastAsia="Cambria"/>
          <w:i/>
          <w:sz w:val="20"/>
          <w:szCs w:val="20"/>
          <w:lang w:eastAsia="en-US"/>
        </w:rPr>
        <w:tab/>
      </w:r>
      <w:r w:rsidRPr="00F55547">
        <w:rPr>
          <w:rFonts w:eastAsia="Cambria"/>
          <w:i/>
          <w:sz w:val="20"/>
          <w:szCs w:val="20"/>
          <w:lang w:eastAsia="en-US"/>
        </w:rPr>
        <w:tab/>
      </w:r>
      <w:r w:rsidRPr="00F55547">
        <w:rPr>
          <w:rFonts w:eastAsia="Cambria"/>
          <w:i/>
          <w:sz w:val="20"/>
          <w:szCs w:val="20"/>
          <w:lang w:eastAsia="en-US"/>
        </w:rPr>
        <w:tab/>
      </w:r>
      <w:r w:rsidRPr="00F55547">
        <w:rPr>
          <w:rFonts w:eastAsia="Cambria"/>
          <w:i/>
          <w:sz w:val="20"/>
          <w:szCs w:val="20"/>
          <w:lang w:eastAsia="en-US"/>
        </w:rPr>
        <w:tab/>
      </w:r>
      <w:r w:rsidRPr="00F55547">
        <w:rPr>
          <w:rFonts w:eastAsia="Cambria"/>
          <w:i/>
          <w:sz w:val="20"/>
          <w:szCs w:val="20"/>
          <w:lang w:eastAsia="en-US"/>
        </w:rPr>
        <w:tab/>
      </w:r>
      <w:r w:rsidRPr="00F55547">
        <w:rPr>
          <w:rFonts w:eastAsia="Cambria"/>
          <w:i/>
          <w:sz w:val="20"/>
          <w:szCs w:val="20"/>
          <w:lang w:eastAsia="en-US"/>
        </w:rPr>
        <w:tab/>
      </w:r>
    </w:p>
    <w:p w:rsidR="00F55547" w:rsidRDefault="00F55547">
      <w:pPr>
        <w:spacing w:after="200" w:line="276" w:lineRule="auto"/>
        <w:rPr>
          <w:lang w:eastAsia="en-US"/>
        </w:rPr>
      </w:pPr>
      <w:r>
        <w:rPr>
          <w:lang w:eastAsia="en-US"/>
        </w:rPr>
        <w:br w:type="page"/>
      </w:r>
    </w:p>
    <w:p w:rsidR="00796386" w:rsidRPr="00796386" w:rsidRDefault="00796386" w:rsidP="00796386">
      <w:pPr>
        <w:spacing w:line="360" w:lineRule="auto"/>
        <w:jc w:val="right"/>
        <w:rPr>
          <w:lang w:eastAsia="en-US"/>
        </w:rPr>
      </w:pPr>
      <w:r>
        <w:rPr>
          <w:lang w:eastAsia="en-US"/>
        </w:rPr>
        <w:lastRenderedPageBreak/>
        <w:t>Jelgavs T</w:t>
      </w:r>
      <w:r w:rsidRPr="00796386">
        <w:rPr>
          <w:lang w:eastAsia="en-US"/>
        </w:rPr>
        <w:t>ehnikuma</w:t>
      </w:r>
    </w:p>
    <w:p w:rsidR="00796386" w:rsidRPr="00796386" w:rsidRDefault="00796386" w:rsidP="00796386">
      <w:pPr>
        <w:spacing w:line="360" w:lineRule="auto"/>
        <w:jc w:val="right"/>
        <w:rPr>
          <w:lang w:eastAsia="en-US"/>
        </w:rPr>
      </w:pPr>
      <w:r w:rsidRPr="00796386">
        <w:rPr>
          <w:lang w:eastAsia="en-US"/>
        </w:rPr>
        <w:t xml:space="preserve">2013.gada </w:t>
      </w:r>
      <w:r w:rsidRPr="00796386">
        <w:rPr>
          <w:highlight w:val="yellow"/>
          <w:lang w:eastAsia="en-US"/>
        </w:rPr>
        <w:t>___</w:t>
      </w:r>
      <w:r w:rsidRPr="00796386">
        <w:rPr>
          <w:lang w:eastAsia="en-US"/>
        </w:rPr>
        <w:t>.</w:t>
      </w:r>
      <w:r w:rsidR="00F55547">
        <w:rPr>
          <w:lang w:eastAsia="en-US"/>
        </w:rPr>
        <w:t xml:space="preserve">augusta </w:t>
      </w:r>
      <w:r w:rsidRPr="00796386">
        <w:rPr>
          <w:lang w:eastAsia="en-US"/>
        </w:rPr>
        <w:t xml:space="preserve">vēstules Nr. </w:t>
      </w:r>
      <w:r w:rsidRPr="00796386">
        <w:rPr>
          <w:highlight w:val="yellow"/>
          <w:lang w:eastAsia="en-US"/>
        </w:rPr>
        <w:t>______</w:t>
      </w:r>
    </w:p>
    <w:p w:rsidR="00796386" w:rsidRPr="00796386" w:rsidRDefault="00796386" w:rsidP="00796386">
      <w:pPr>
        <w:spacing w:line="360" w:lineRule="auto"/>
        <w:jc w:val="right"/>
        <w:rPr>
          <w:lang w:eastAsia="en-US"/>
        </w:rPr>
      </w:pPr>
      <w:r w:rsidRPr="00796386">
        <w:rPr>
          <w:lang w:eastAsia="en-US"/>
        </w:rPr>
        <w:t>„Par iepirkuma procedūras dokumentācijā noteiktajām prasībām”</w:t>
      </w:r>
    </w:p>
    <w:p w:rsidR="00796386" w:rsidRPr="00796386" w:rsidRDefault="00796386" w:rsidP="00796386">
      <w:pPr>
        <w:spacing w:line="360" w:lineRule="auto"/>
        <w:jc w:val="right"/>
        <w:rPr>
          <w:lang w:eastAsia="en-US"/>
        </w:rPr>
      </w:pPr>
    </w:p>
    <w:p w:rsidR="00796386" w:rsidRPr="00796386" w:rsidRDefault="00796386" w:rsidP="00796386">
      <w:pPr>
        <w:spacing w:line="360" w:lineRule="auto"/>
        <w:jc w:val="right"/>
        <w:rPr>
          <w:lang w:eastAsia="en-US"/>
        </w:rPr>
      </w:pPr>
    </w:p>
    <w:p w:rsidR="00796386" w:rsidRPr="00796386" w:rsidRDefault="00796386" w:rsidP="00796386">
      <w:pPr>
        <w:spacing w:line="360" w:lineRule="auto"/>
        <w:jc w:val="center"/>
        <w:rPr>
          <w:b/>
          <w:lang w:eastAsia="en-US"/>
        </w:rPr>
      </w:pPr>
      <w:r w:rsidRPr="00796386">
        <w:rPr>
          <w:b/>
          <w:lang w:eastAsia="en-US"/>
        </w:rPr>
        <w:t>ADRESĀTU SARAKSTS</w:t>
      </w:r>
    </w:p>
    <w:p w:rsidR="00796386" w:rsidRPr="00796386" w:rsidRDefault="00796386" w:rsidP="00796386">
      <w:pPr>
        <w:spacing w:line="360" w:lineRule="auto"/>
        <w:jc w:val="cente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2977"/>
        <w:gridCol w:w="4445"/>
      </w:tblGrid>
      <w:tr w:rsidR="00796386" w:rsidRPr="00796386" w:rsidTr="00034B9B">
        <w:tc>
          <w:tcPr>
            <w:tcW w:w="1149" w:type="dxa"/>
            <w:shd w:val="pct12" w:color="auto" w:fill="auto"/>
            <w:vAlign w:val="center"/>
          </w:tcPr>
          <w:p w:rsidR="00796386" w:rsidRPr="00796386" w:rsidRDefault="00796386" w:rsidP="00796386">
            <w:pPr>
              <w:spacing w:line="360" w:lineRule="auto"/>
              <w:jc w:val="center"/>
              <w:rPr>
                <w:lang w:eastAsia="en-US"/>
              </w:rPr>
            </w:pPr>
            <w:r w:rsidRPr="00796386">
              <w:rPr>
                <w:lang w:eastAsia="en-US"/>
              </w:rPr>
              <w:t>Nr.p.k.</w:t>
            </w:r>
          </w:p>
        </w:tc>
        <w:tc>
          <w:tcPr>
            <w:tcW w:w="3417" w:type="dxa"/>
            <w:shd w:val="pct12" w:color="auto" w:fill="auto"/>
            <w:vAlign w:val="center"/>
          </w:tcPr>
          <w:p w:rsidR="00796386" w:rsidRPr="00796386" w:rsidRDefault="00796386" w:rsidP="00796386">
            <w:pPr>
              <w:spacing w:line="360" w:lineRule="auto"/>
              <w:jc w:val="center"/>
              <w:rPr>
                <w:lang w:eastAsia="en-US"/>
              </w:rPr>
            </w:pPr>
            <w:r w:rsidRPr="00796386">
              <w:rPr>
                <w:lang w:eastAsia="en-US"/>
              </w:rPr>
              <w:t>Adresāts</w:t>
            </w:r>
          </w:p>
        </w:tc>
        <w:tc>
          <w:tcPr>
            <w:tcW w:w="5181" w:type="dxa"/>
            <w:shd w:val="pct12" w:color="auto" w:fill="auto"/>
            <w:vAlign w:val="center"/>
          </w:tcPr>
          <w:p w:rsidR="00796386" w:rsidRPr="00796386" w:rsidRDefault="00796386" w:rsidP="00796386">
            <w:pPr>
              <w:spacing w:line="360" w:lineRule="auto"/>
              <w:jc w:val="center"/>
              <w:rPr>
                <w:lang w:eastAsia="en-US"/>
              </w:rPr>
            </w:pPr>
            <w:r w:rsidRPr="00796386">
              <w:rPr>
                <w:lang w:eastAsia="en-US"/>
              </w:rPr>
              <w:t>Adrese, fax</w:t>
            </w:r>
          </w:p>
        </w:tc>
      </w:tr>
      <w:tr w:rsidR="00F55547" w:rsidRPr="00796386" w:rsidTr="00034B9B">
        <w:tc>
          <w:tcPr>
            <w:tcW w:w="1149" w:type="dxa"/>
            <w:shd w:val="clear" w:color="auto" w:fill="auto"/>
            <w:vAlign w:val="center"/>
          </w:tcPr>
          <w:p w:rsidR="00F55547" w:rsidRPr="00796386" w:rsidRDefault="00F55547" w:rsidP="00796386">
            <w:pPr>
              <w:spacing w:line="360" w:lineRule="auto"/>
              <w:jc w:val="center"/>
              <w:rPr>
                <w:lang w:eastAsia="en-US"/>
              </w:rPr>
            </w:pPr>
            <w:r>
              <w:rPr>
                <w:lang w:eastAsia="en-US"/>
              </w:rPr>
              <w:t>1.</w:t>
            </w:r>
          </w:p>
        </w:tc>
        <w:tc>
          <w:tcPr>
            <w:tcW w:w="3417" w:type="dxa"/>
            <w:shd w:val="clear" w:color="auto" w:fill="auto"/>
            <w:vAlign w:val="center"/>
          </w:tcPr>
          <w:p w:rsidR="00F55547" w:rsidRPr="00796386" w:rsidRDefault="00F55547" w:rsidP="00F55547">
            <w:pPr>
              <w:spacing w:line="360" w:lineRule="auto"/>
              <w:jc w:val="center"/>
              <w:rPr>
                <w:lang w:eastAsia="en-US"/>
              </w:rPr>
            </w:pPr>
            <w:r>
              <w:rPr>
                <w:lang w:eastAsia="en-US"/>
              </w:rPr>
              <w:t>SIA „Velve”</w:t>
            </w:r>
          </w:p>
        </w:tc>
        <w:tc>
          <w:tcPr>
            <w:tcW w:w="5181" w:type="dxa"/>
            <w:shd w:val="clear" w:color="auto" w:fill="auto"/>
            <w:vAlign w:val="center"/>
          </w:tcPr>
          <w:p w:rsidR="00F55547" w:rsidRDefault="00F55547" w:rsidP="00796386">
            <w:pPr>
              <w:spacing w:line="360" w:lineRule="auto"/>
              <w:jc w:val="center"/>
              <w:rPr>
                <w:lang w:eastAsia="en-US"/>
              </w:rPr>
            </w:pPr>
            <w:r>
              <w:rPr>
                <w:lang w:eastAsia="en-US"/>
              </w:rPr>
              <w:t>Kuldīgas iela 51, Rīga, LV-1046</w:t>
            </w:r>
          </w:p>
          <w:p w:rsidR="00F55547" w:rsidRPr="00796386" w:rsidRDefault="00F55547" w:rsidP="00796386">
            <w:pPr>
              <w:spacing w:line="360" w:lineRule="auto"/>
              <w:jc w:val="center"/>
              <w:rPr>
                <w:lang w:eastAsia="en-US"/>
              </w:rPr>
            </w:pPr>
            <w:r>
              <w:rPr>
                <w:lang w:eastAsia="en-US"/>
              </w:rPr>
              <w:t>Fax: +371 67820517</w:t>
            </w:r>
          </w:p>
        </w:tc>
      </w:tr>
      <w:tr w:rsidR="00796386" w:rsidRPr="00796386" w:rsidTr="00034B9B">
        <w:tc>
          <w:tcPr>
            <w:tcW w:w="1149" w:type="dxa"/>
            <w:shd w:val="clear" w:color="auto" w:fill="auto"/>
            <w:vAlign w:val="center"/>
          </w:tcPr>
          <w:p w:rsidR="00796386" w:rsidRPr="00796386" w:rsidRDefault="00F55547" w:rsidP="00796386">
            <w:pPr>
              <w:spacing w:line="360" w:lineRule="auto"/>
              <w:jc w:val="center"/>
              <w:rPr>
                <w:lang w:eastAsia="en-US"/>
              </w:rPr>
            </w:pPr>
            <w:r>
              <w:rPr>
                <w:lang w:eastAsia="en-US"/>
              </w:rPr>
              <w:t>2</w:t>
            </w:r>
            <w:r w:rsidR="00796386" w:rsidRPr="00796386">
              <w:rPr>
                <w:lang w:eastAsia="en-US"/>
              </w:rPr>
              <w:t>.</w:t>
            </w:r>
          </w:p>
        </w:tc>
        <w:tc>
          <w:tcPr>
            <w:tcW w:w="3417" w:type="dxa"/>
            <w:shd w:val="clear" w:color="auto" w:fill="auto"/>
            <w:vAlign w:val="center"/>
          </w:tcPr>
          <w:p w:rsidR="00796386" w:rsidRPr="00796386" w:rsidRDefault="00796386" w:rsidP="00F55547">
            <w:pPr>
              <w:spacing w:line="360" w:lineRule="auto"/>
              <w:jc w:val="center"/>
              <w:rPr>
                <w:lang w:eastAsia="en-US"/>
              </w:rPr>
            </w:pPr>
            <w:r w:rsidRPr="00796386">
              <w:rPr>
                <w:lang w:eastAsia="en-US"/>
              </w:rPr>
              <w:t>SIA „</w:t>
            </w:r>
            <w:r w:rsidR="00F55547">
              <w:rPr>
                <w:lang w:eastAsia="en-US"/>
              </w:rPr>
              <w:t>Arčers”</w:t>
            </w:r>
          </w:p>
        </w:tc>
        <w:tc>
          <w:tcPr>
            <w:tcW w:w="5181" w:type="dxa"/>
            <w:shd w:val="clear" w:color="auto" w:fill="auto"/>
            <w:vAlign w:val="center"/>
          </w:tcPr>
          <w:p w:rsidR="00796386" w:rsidRDefault="00F55547" w:rsidP="00796386">
            <w:pPr>
              <w:spacing w:line="360" w:lineRule="auto"/>
              <w:jc w:val="center"/>
              <w:rPr>
                <w:lang w:eastAsia="en-US"/>
              </w:rPr>
            </w:pPr>
            <w:r>
              <w:rPr>
                <w:lang w:eastAsia="en-US"/>
              </w:rPr>
              <w:t>Katlakalna iela 11, Rīga, LV-1073</w:t>
            </w:r>
          </w:p>
          <w:p w:rsidR="00F55547" w:rsidRPr="00796386" w:rsidRDefault="00F55547" w:rsidP="00796386">
            <w:pPr>
              <w:spacing w:line="360" w:lineRule="auto"/>
              <w:jc w:val="center"/>
              <w:rPr>
                <w:lang w:eastAsia="en-US"/>
              </w:rPr>
            </w:pPr>
            <w:r>
              <w:rPr>
                <w:lang w:eastAsia="en-US"/>
              </w:rPr>
              <w:t xml:space="preserve">Fax: </w:t>
            </w:r>
            <w:r w:rsidRPr="00F55547">
              <w:rPr>
                <w:lang w:eastAsia="en-US"/>
              </w:rPr>
              <w:t>+ 371 67810597</w:t>
            </w:r>
          </w:p>
        </w:tc>
      </w:tr>
    </w:tbl>
    <w:p w:rsidR="00796386" w:rsidRPr="00796386" w:rsidRDefault="00796386" w:rsidP="00796386">
      <w:pPr>
        <w:spacing w:line="360" w:lineRule="auto"/>
        <w:jc w:val="center"/>
        <w:rPr>
          <w:lang w:eastAsia="en-US"/>
        </w:rPr>
      </w:pPr>
    </w:p>
    <w:p w:rsidR="00796386" w:rsidRPr="00796386" w:rsidRDefault="00796386" w:rsidP="00796386">
      <w:pPr>
        <w:spacing w:line="360" w:lineRule="auto"/>
        <w:jc w:val="center"/>
        <w:rPr>
          <w:lang w:eastAsia="en-US"/>
        </w:rPr>
      </w:pPr>
    </w:p>
    <w:p w:rsidR="00796386" w:rsidRPr="00796386" w:rsidRDefault="00796386" w:rsidP="00796386">
      <w:pPr>
        <w:spacing w:line="360" w:lineRule="auto"/>
        <w:rPr>
          <w:lang w:eastAsia="en-US"/>
        </w:rPr>
      </w:pPr>
      <w:r w:rsidRPr="00796386">
        <w:rPr>
          <w:lang w:eastAsia="en-US"/>
        </w:rPr>
        <w:t>Iepirkuma komisijas priekšsēdētāja</w:t>
      </w:r>
      <w:r w:rsidRPr="00796386">
        <w:rPr>
          <w:lang w:eastAsia="en-US"/>
        </w:rPr>
        <w:tab/>
      </w:r>
      <w:r w:rsidRPr="00796386">
        <w:rPr>
          <w:lang w:eastAsia="en-US"/>
        </w:rPr>
        <w:tab/>
      </w:r>
      <w:r w:rsidRPr="00796386">
        <w:rPr>
          <w:lang w:eastAsia="en-US"/>
        </w:rPr>
        <w:tab/>
      </w:r>
      <w:r w:rsidRPr="00796386">
        <w:rPr>
          <w:lang w:eastAsia="en-US"/>
        </w:rPr>
        <w:tab/>
      </w:r>
      <w:r w:rsidRPr="00796386">
        <w:rPr>
          <w:lang w:eastAsia="en-US"/>
        </w:rPr>
        <w:tab/>
        <w:t xml:space="preserve">         </w:t>
      </w:r>
      <w:r w:rsidR="00F55547">
        <w:rPr>
          <w:lang w:eastAsia="en-US"/>
        </w:rPr>
        <w:t>N.Jakuševa</w:t>
      </w:r>
    </w:p>
    <w:p w:rsidR="009827C7" w:rsidRDefault="009827C7"/>
    <w:sectPr w:rsidR="009827C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86"/>
    <w:rsid w:val="004A4E28"/>
    <w:rsid w:val="00796386"/>
    <w:rsid w:val="009827C7"/>
    <w:rsid w:val="00F555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8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2857</Words>
  <Characters>1630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Lietotajs</cp:lastModifiedBy>
  <cp:revision>2</cp:revision>
  <dcterms:created xsi:type="dcterms:W3CDTF">2013-08-06T08:46:00Z</dcterms:created>
  <dcterms:modified xsi:type="dcterms:W3CDTF">2013-08-06T08:46:00Z</dcterms:modified>
</cp:coreProperties>
</file>