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A8" w:rsidRPr="00F55547" w:rsidRDefault="007664A8" w:rsidP="00F55547">
      <w:pPr>
        <w:jc w:val="both"/>
      </w:pPr>
    </w:p>
    <w:tbl>
      <w:tblPr>
        <w:tblW w:w="0" w:type="auto"/>
        <w:tblLook w:val="00A0"/>
      </w:tblPr>
      <w:tblGrid>
        <w:gridCol w:w="4256"/>
        <w:gridCol w:w="875"/>
        <w:gridCol w:w="3391"/>
      </w:tblGrid>
      <w:tr w:rsidR="007664A8" w:rsidRPr="0046219C" w:rsidTr="00DB77E1">
        <w:trPr>
          <w:gridBefore w:val="1"/>
          <w:wBefore w:w="4256" w:type="dxa"/>
        </w:trPr>
        <w:tc>
          <w:tcPr>
            <w:tcW w:w="4266" w:type="dxa"/>
            <w:gridSpan w:val="2"/>
          </w:tcPr>
          <w:p w:rsidR="007664A8" w:rsidRPr="0046219C" w:rsidRDefault="007664A8" w:rsidP="0046219C">
            <w:pPr>
              <w:jc w:val="right"/>
              <w:rPr>
                <w:b/>
                <w:lang w:eastAsia="en-US"/>
              </w:rPr>
            </w:pPr>
            <w:r w:rsidRPr="0046219C">
              <w:rPr>
                <w:rFonts w:cs="Mangal"/>
                <w:b/>
                <w:kern w:val="2"/>
                <w:lang w:eastAsia="hi-IN" w:bidi="hi-IN"/>
              </w:rPr>
              <w:t>Ieinteresētajiem piegādātājiem</w:t>
            </w:r>
          </w:p>
          <w:p w:rsidR="007664A8" w:rsidRPr="0046219C" w:rsidRDefault="007664A8" w:rsidP="0046219C">
            <w:pPr>
              <w:spacing w:line="360" w:lineRule="auto"/>
              <w:jc w:val="center"/>
              <w:rPr>
                <w:rFonts w:cs="Mangal"/>
                <w:kern w:val="2"/>
                <w:lang w:eastAsia="hi-IN" w:bidi="hi-IN"/>
              </w:rPr>
            </w:pPr>
          </w:p>
        </w:tc>
      </w:tr>
      <w:tr w:rsidR="007664A8" w:rsidRPr="0046219C" w:rsidTr="00DB77E1">
        <w:trPr>
          <w:gridAfter w:val="1"/>
          <w:wAfter w:w="3391" w:type="dxa"/>
        </w:trPr>
        <w:tc>
          <w:tcPr>
            <w:tcW w:w="5131" w:type="dxa"/>
            <w:gridSpan w:val="2"/>
          </w:tcPr>
          <w:p w:rsidR="007664A8" w:rsidRPr="0046219C" w:rsidRDefault="007664A8" w:rsidP="0046219C">
            <w:pPr>
              <w:widowControl w:val="0"/>
              <w:suppressAutoHyphens/>
              <w:jc w:val="both"/>
              <w:rPr>
                <w:rFonts w:cs="Mangal"/>
                <w:b/>
                <w:kern w:val="2"/>
                <w:lang w:eastAsia="hi-IN" w:bidi="hi-IN"/>
              </w:rPr>
            </w:pPr>
            <w:r w:rsidRPr="0046219C">
              <w:rPr>
                <w:rFonts w:cs="Mangal"/>
                <w:b/>
                <w:kern w:val="2"/>
                <w:lang w:eastAsia="hi-IN" w:bidi="hi-IN"/>
              </w:rPr>
              <w:t>Par iepirkuma procedūras dokumentācijā noteiktajām prasībām</w:t>
            </w:r>
          </w:p>
          <w:p w:rsidR="007664A8" w:rsidRPr="0046219C" w:rsidRDefault="007664A8" w:rsidP="0046219C">
            <w:pPr>
              <w:widowControl w:val="0"/>
              <w:suppressAutoHyphens/>
              <w:jc w:val="both"/>
              <w:rPr>
                <w:rFonts w:cs="Mangal"/>
                <w:b/>
                <w:kern w:val="2"/>
                <w:lang w:eastAsia="hi-IN" w:bidi="hi-IN"/>
              </w:rPr>
            </w:pPr>
          </w:p>
        </w:tc>
      </w:tr>
    </w:tbl>
    <w:p w:rsidR="007664A8" w:rsidRPr="0046219C" w:rsidRDefault="007664A8" w:rsidP="0046219C">
      <w:pPr>
        <w:widowControl w:val="0"/>
        <w:suppressAutoHyphens/>
        <w:ind w:firstLine="720"/>
        <w:jc w:val="both"/>
        <w:rPr>
          <w:rFonts w:cs="Mangal"/>
          <w:kern w:val="2"/>
          <w:lang w:eastAsia="hi-IN" w:bidi="hi-IN"/>
        </w:rPr>
      </w:pPr>
      <w:r w:rsidRPr="0046219C">
        <w:rPr>
          <w:rFonts w:cs="Mangal"/>
          <w:kern w:val="2"/>
          <w:lang w:eastAsia="hi-IN" w:bidi="hi-IN"/>
        </w:rPr>
        <w:t xml:space="preserve">Jelgavas Tehnikums (turpmāk – Pasūtītājs) 2013.gada 24.jūlijā Iepirkumu uzraudzības biroja mājas lapā internetā publicēja paziņojumu par līgumu iepirkuma procedūrai – atklātam konkursam „Jelgavas Tehnikuma rekonstrukcija”, identifikācijas Nr. JT 2013/8 (turpmāk – Iepirkuma procedūra). </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Pasūtītājs Iepirkuma procedūras ietvaros ir saņēmis ieinteresētā piegādātāja jautājumus par Iepirkuma procedūras dokumentācijā noteiktajām prasībām un, pamatojoties uz Publisko iepirkumu likuma 30.panta trešo un ceturto daļu, sniedz šādu papildus informāciju:</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Pasūtītājs informē ieinteresētos piegādātājus, ka saskaņā ar Iepirkuma procedūras nolikuma 7.pielikuma „Līguma projekts” 2.2.punktu ir noteikts, ka gadījumā, „ja līguma un tā pielikumu noteikumos konstatē pretrunas, tad dokumentu prioritāte ir šāda:</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2.2.1.</w:t>
      </w:r>
      <w:r w:rsidRPr="0046219C">
        <w:rPr>
          <w:rFonts w:cs="Mangal"/>
          <w:kern w:val="2"/>
          <w:lang w:eastAsia="hi-IN" w:bidi="hi-IN"/>
        </w:rPr>
        <w:tab/>
        <w:t>Šis līgums</w:t>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2.2.2.</w:t>
      </w:r>
      <w:r w:rsidRPr="0046219C">
        <w:rPr>
          <w:rFonts w:cs="Mangal"/>
          <w:kern w:val="2"/>
          <w:lang w:eastAsia="hi-IN" w:bidi="hi-IN"/>
        </w:rPr>
        <w:tab/>
        <w:t>Līguma dati</w:t>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t>1.pielikums;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2.2.3.</w:t>
      </w:r>
      <w:r w:rsidRPr="0046219C">
        <w:rPr>
          <w:rFonts w:cs="Mangal"/>
          <w:kern w:val="2"/>
          <w:lang w:eastAsia="hi-IN" w:bidi="hi-IN"/>
        </w:rPr>
        <w:tab/>
        <w:t>Iepirkuma sarakste</w:t>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t>2.pielikums;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2.2.4.</w:t>
      </w:r>
      <w:r w:rsidRPr="0046219C">
        <w:rPr>
          <w:rFonts w:cs="Mangal"/>
          <w:kern w:val="2"/>
          <w:lang w:eastAsia="hi-IN" w:bidi="hi-IN"/>
        </w:rPr>
        <w:tab/>
        <w:t>Specifikācijas (Tehniskais projekts)</w:t>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t>3.pielikums;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2.2.5.</w:t>
      </w:r>
      <w:r w:rsidRPr="0046219C">
        <w:rPr>
          <w:rFonts w:cs="Mangal"/>
          <w:kern w:val="2"/>
          <w:lang w:eastAsia="hi-IN" w:bidi="hi-IN"/>
        </w:rPr>
        <w:tab/>
        <w:t>Darbu apjomu saraksts (Tāmes)</w:t>
      </w:r>
      <w:r w:rsidRPr="0046219C">
        <w:rPr>
          <w:rFonts w:cs="Mangal"/>
          <w:kern w:val="2"/>
          <w:lang w:eastAsia="hi-IN" w:bidi="hi-IN"/>
        </w:rPr>
        <w:tab/>
      </w:r>
      <w:r w:rsidRPr="0046219C">
        <w:rPr>
          <w:rFonts w:cs="Mangal"/>
          <w:kern w:val="2"/>
          <w:lang w:eastAsia="hi-IN" w:bidi="hi-IN"/>
        </w:rPr>
        <w:tab/>
      </w:r>
      <w:r w:rsidRPr="0046219C">
        <w:rPr>
          <w:rFonts w:cs="Mangal"/>
          <w:kern w:val="2"/>
          <w:lang w:eastAsia="hi-IN" w:bidi="hi-IN"/>
        </w:rPr>
        <w:tab/>
        <w:t>4.pielikums ...”.</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No minētā ir secināms, ka gadīj</w:t>
      </w:r>
      <w:r>
        <w:rPr>
          <w:rFonts w:cs="Mangal"/>
          <w:kern w:val="2"/>
          <w:lang w:eastAsia="hi-IN" w:bidi="hi-IN"/>
        </w:rPr>
        <w:t>u</w:t>
      </w:r>
      <w:r w:rsidRPr="0046219C">
        <w:rPr>
          <w:rFonts w:cs="Mangal"/>
          <w:kern w:val="2"/>
          <w:lang w:eastAsia="hi-IN" w:bidi="hi-IN"/>
        </w:rPr>
        <w:t>mā, ja darbu apjomu sarakstā nav norādīti kādi darbu apjomi, bet tie ir paredzēti tehniskajā projektā, tad pretendentam šādi risinājumi ir jāierēķina darbu izmaksās.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Darbu apjomos nenorādītos, bet tehniskā projekta risinājumos paredzētos darbus pretendentam ir jāierēķina būvdarbu izmaksās un jānorāda lokālajās tāmēs „Dažādi darbi”, kurās ir jānorāda darbi, kuri ir Tehniskajā projektā un ir nepieciešami, bet nav iekļauti lokālo tāmju sadaļās (projektā Nr.1 – lokālās tāmes Nr.1-15 un 2-11, projektā Nr.2 – lokālās tāmes Nr. 1-15 un 2-10, projektā Nr.3 – lokālās tāmes 1-17 un 2-16, projektā Nr.4 – lokālās tāmes Nr. 2-10). Ja lokālajās tāmēs nebūs izcenots kāds no tehniskajos projektos paredzētajiem risinājumiem, tiks uzskatīts, ka pretendents minētos darbus ir ierēķinājis savā piedāvājumā un šādu da</w:t>
      </w:r>
      <w:r>
        <w:rPr>
          <w:rFonts w:cs="Mangal"/>
          <w:kern w:val="2"/>
          <w:lang w:eastAsia="hi-IN" w:bidi="hi-IN"/>
        </w:rPr>
        <w:t>rb</w:t>
      </w:r>
      <w:r w:rsidRPr="0046219C">
        <w:rPr>
          <w:rFonts w:cs="Mangal"/>
          <w:kern w:val="2"/>
          <w:lang w:eastAsia="hi-IN" w:bidi="hi-IN"/>
        </w:rPr>
        <w:t>u izpildei papildus finansējums netiks piešķirts.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Papildus Pasūtītājs sniedz šādas atbildes uz ieinteresētā piegādātāja uzdotajiem jautājumiem:</w:t>
      </w:r>
    </w:p>
    <w:p w:rsidR="007664A8" w:rsidRPr="0046219C" w:rsidRDefault="007664A8" w:rsidP="0046219C">
      <w:pPr>
        <w:widowControl w:val="0"/>
        <w:suppressAutoHyphens/>
        <w:spacing w:before="120" w:after="120" w:line="276" w:lineRule="auto"/>
        <w:jc w:val="both"/>
        <w:rPr>
          <w:rFonts w:cs="Mangal"/>
          <w:b/>
          <w:bCs/>
          <w:kern w:val="2"/>
          <w:u w:val="single"/>
          <w:lang w:eastAsia="hi-IN" w:bidi="hi-IN"/>
        </w:rPr>
      </w:pPr>
      <w:r w:rsidRPr="0046219C">
        <w:rPr>
          <w:rFonts w:cs="Mangal"/>
          <w:b/>
          <w:bCs/>
          <w:kern w:val="2"/>
          <w:u w:val="single"/>
          <w:lang w:eastAsia="hi-IN" w:bidi="hi-IN"/>
        </w:rPr>
        <w:t>1.jautājums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Par objektu ” Skolas ēkas 1.,2. stāva un pārejas (skolas ēka- dienesta viesnīca), skolas darbnīcu korpusa rekonstrukcija”:</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Pasūtītāja izsniegtajā projekta sadaļā „Interjera projekts” lapā IN13 un lapā IN14 ir parādīts sienas apdares fragments telpā Nr.1.31 ar finierētiem paneļiem „HOMAPAL H32/131 - Matt Zingana”, bet izsniegtajos darbu apjomos, kas attiecas uz šīs telpas „Telpa 1.31 halle (236,25m2)” pozīcijās par sienu apdari šādas apdares nav. Ja šī apdare ir jāiekļauj savā piedāvājumā, tad lūdz izsniegt apjomus?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b/>
          <w:kern w:val="2"/>
          <w:lang w:eastAsia="hi-IN" w:bidi="hi-IN"/>
        </w:rPr>
        <w:t xml:space="preserve">Atbilde: </w:t>
      </w:r>
      <w:r w:rsidRPr="0046219C">
        <w:rPr>
          <w:rFonts w:cs="Mangal"/>
          <w:kern w:val="2"/>
          <w:lang w:eastAsia="hi-IN" w:bidi="hi-IN"/>
        </w:rPr>
        <w:t>Aprēķinot darbu izmaksas ir jāņem vērā visi tehniskā projekta rasējumos paredzētie risinājumi, tai skaitā, bet neaprobežojoties ar tehniskā projekta sadaļā „Interjera projekts” paredzētos risinājumus.</w:t>
      </w:r>
    </w:p>
    <w:p w:rsidR="007664A8" w:rsidRPr="0046219C" w:rsidRDefault="007664A8" w:rsidP="0046219C">
      <w:pPr>
        <w:widowControl w:val="0"/>
        <w:suppressAutoHyphens/>
        <w:spacing w:before="120" w:after="120"/>
        <w:jc w:val="both"/>
        <w:rPr>
          <w:rFonts w:cs="Mangal"/>
          <w:b/>
          <w:kern w:val="2"/>
          <w:u w:val="single"/>
          <w:lang w:eastAsia="hi-IN" w:bidi="hi-IN"/>
        </w:rPr>
      </w:pPr>
      <w:r w:rsidRPr="0046219C">
        <w:rPr>
          <w:rFonts w:cs="Mangal"/>
          <w:b/>
          <w:kern w:val="2"/>
          <w:u w:val="single"/>
          <w:lang w:eastAsia="hi-IN" w:bidi="hi-IN"/>
        </w:rPr>
        <w:t>2.jautājums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 xml:space="preserve">Par objektu ” Skolas mācību korpusa 3.,4. stāva un savienojošā korpusa (skolas ēka- darbnīcu korpuss) rekonstrukcija”: Lokālajā tāmē „Vispārīgie būvdarbi” pozīcijās „Jumts J-02 virs WC bloka” poz.23 „ Keramzītbetona B10 slīpuma veidojošo kārtu b=10-120mm ierīkošana – 5.90m2.” Vai šeit nav kļūda darbu mērvienībā un nevajag m3? </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b/>
          <w:kern w:val="2"/>
          <w:lang w:eastAsia="hi-IN" w:bidi="hi-IN"/>
        </w:rPr>
        <w:t>Atbilde</w:t>
      </w:r>
      <w:r w:rsidRPr="0046219C">
        <w:rPr>
          <w:rFonts w:cs="Mangal"/>
          <w:kern w:val="2"/>
          <w:lang w:eastAsia="hi-IN" w:bidi="hi-IN"/>
        </w:rPr>
        <w:t>: Pretendentam, aprēķinot darbu izmaksas, ir jāņem vērā visi tehniskajā projektā paredzētie risinājumi. Sa</w:t>
      </w:r>
      <w:r>
        <w:rPr>
          <w:rFonts w:cs="Mangal"/>
          <w:kern w:val="2"/>
          <w:lang w:eastAsia="hi-IN" w:bidi="hi-IN"/>
        </w:rPr>
        <w:t>s</w:t>
      </w:r>
      <w:r w:rsidRPr="0046219C">
        <w:rPr>
          <w:rFonts w:cs="Mangal"/>
          <w:kern w:val="2"/>
          <w:lang w:eastAsia="hi-IN" w:bidi="hi-IN"/>
        </w:rPr>
        <w:t>kaņā ar tehniskā projekta risinājumi</w:t>
      </w:r>
      <w:r>
        <w:rPr>
          <w:rFonts w:cs="Mangal"/>
          <w:kern w:val="2"/>
          <w:lang w:eastAsia="hi-IN" w:bidi="hi-IN"/>
        </w:rPr>
        <w:t xml:space="preserve">em jumta virs WC bloka keramzītbetona </w:t>
      </w:r>
      <w:r w:rsidRPr="0046219C">
        <w:rPr>
          <w:rFonts w:cs="Mangal"/>
          <w:kern w:val="2"/>
          <w:lang w:eastAsia="hi-IN" w:bidi="hi-IN"/>
        </w:rPr>
        <w:t>B10 slīpumu veidojošo kārtu b=10-120mm ierīkošana ir nepieciešami 5,9 m</w:t>
      </w:r>
      <w:r w:rsidRPr="0046219C">
        <w:rPr>
          <w:rFonts w:cs="Mangal"/>
          <w:kern w:val="2"/>
          <w:vertAlign w:val="superscript"/>
          <w:lang w:eastAsia="hi-IN" w:bidi="hi-IN"/>
        </w:rPr>
        <w:t>3</w:t>
      </w:r>
      <w:r w:rsidRPr="0046219C">
        <w:rPr>
          <w:rFonts w:cs="Mangal"/>
          <w:kern w:val="2"/>
          <w:lang w:eastAsia="hi-IN" w:bidi="hi-IN"/>
        </w:rPr>
        <w:t>. Līdz ar to lūdzam ieinteresētos piegādātājus ņemt vērā, ka pareizā mērvienība izmaksu aprēķināšanai ir m</w:t>
      </w:r>
      <w:r w:rsidRPr="0046219C">
        <w:rPr>
          <w:rFonts w:cs="Mangal"/>
          <w:kern w:val="2"/>
          <w:vertAlign w:val="superscript"/>
          <w:lang w:eastAsia="hi-IN" w:bidi="hi-IN"/>
        </w:rPr>
        <w:t>3</w:t>
      </w:r>
      <w:r w:rsidRPr="0046219C">
        <w:rPr>
          <w:rFonts w:cs="Mangal"/>
          <w:kern w:val="2"/>
          <w:lang w:eastAsia="hi-IN" w:bidi="hi-IN"/>
        </w:rPr>
        <w:t>.</w:t>
      </w:r>
    </w:p>
    <w:p w:rsidR="007664A8" w:rsidRPr="0046219C" w:rsidRDefault="007664A8" w:rsidP="0046219C">
      <w:pPr>
        <w:widowControl w:val="0"/>
        <w:suppressAutoHyphens/>
        <w:spacing w:before="120" w:after="120"/>
        <w:jc w:val="both"/>
        <w:rPr>
          <w:rFonts w:cs="Mangal"/>
          <w:b/>
          <w:kern w:val="2"/>
          <w:u w:val="single"/>
          <w:lang w:eastAsia="hi-IN" w:bidi="hi-IN"/>
        </w:rPr>
      </w:pPr>
      <w:r w:rsidRPr="0046219C">
        <w:rPr>
          <w:rFonts w:cs="Mangal"/>
          <w:b/>
          <w:kern w:val="2"/>
          <w:u w:val="single"/>
          <w:lang w:eastAsia="hi-IN" w:bidi="hi-IN"/>
        </w:rPr>
        <w:t>3.jautājums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Pasūtītāja izsniegtajā projekta sadaļā „Interjera projekts” ir uzrādīts daudz dažādu mēbeļu, bet izsniegto darbu apjomu tāmēs uzrādītie mēbeļu apjomi nav saprotami pret projekta apjomiem. Kā rīkoties šajā situācijā un lūdzu rast iespēju, lai lokālajās tāmēs jau uzrādīto mēbeļu apjomi būtu ar norādi uz konkrētiem IN „Interjera projekta” rasējumiem?</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b/>
          <w:kern w:val="2"/>
          <w:lang w:eastAsia="hi-IN" w:bidi="hi-IN"/>
        </w:rPr>
        <w:t xml:space="preserve">Atbilde: </w:t>
      </w:r>
      <w:r w:rsidRPr="0046219C">
        <w:rPr>
          <w:rFonts w:cs="Mangal"/>
          <w:kern w:val="2"/>
          <w:lang w:eastAsia="hi-IN" w:bidi="hi-IN"/>
        </w:rPr>
        <w:t>Pretendentam, aprēķinot darb</w:t>
      </w:r>
      <w:r>
        <w:rPr>
          <w:rFonts w:cs="Mangal"/>
          <w:kern w:val="2"/>
          <w:lang w:eastAsia="hi-IN" w:bidi="hi-IN"/>
        </w:rPr>
        <w:t>u</w:t>
      </w:r>
      <w:r w:rsidRPr="0046219C">
        <w:rPr>
          <w:rFonts w:cs="Mangal"/>
          <w:kern w:val="2"/>
          <w:lang w:eastAsia="hi-IN" w:bidi="hi-IN"/>
        </w:rPr>
        <w:t xml:space="preserve"> izmaksas, ir jāņem vērā, ka piedāvājumā r jāiekļau tikai iebūvējamās mēbeles. Iebūvējamo mēbeļu apjomi ir norādīti lokālajās tāmēs, kā arī tehniskajā projektā paredzētajos risinājumos.</w:t>
      </w:r>
    </w:p>
    <w:p w:rsidR="007664A8" w:rsidRPr="0046219C" w:rsidRDefault="007664A8" w:rsidP="0046219C">
      <w:pPr>
        <w:widowControl w:val="0"/>
        <w:suppressAutoHyphens/>
        <w:spacing w:before="120" w:after="120"/>
        <w:jc w:val="both"/>
        <w:rPr>
          <w:rFonts w:cs="Mangal"/>
          <w:b/>
          <w:kern w:val="2"/>
          <w:u w:val="single"/>
          <w:lang w:eastAsia="hi-IN" w:bidi="hi-IN"/>
        </w:rPr>
      </w:pPr>
      <w:r w:rsidRPr="0046219C">
        <w:rPr>
          <w:rFonts w:cs="Mangal"/>
          <w:b/>
          <w:kern w:val="2"/>
          <w:u w:val="single"/>
          <w:lang w:eastAsia="hi-IN" w:bidi="hi-IN"/>
        </w:rPr>
        <w:t>4.jautājums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Dažās tāmēs ir poz. „Uzlīmju,</w:t>
      </w:r>
      <w:r>
        <w:rPr>
          <w:rFonts w:cs="Mangal"/>
          <w:kern w:val="2"/>
          <w:lang w:eastAsia="hi-IN" w:bidi="hi-IN"/>
        </w:rPr>
        <w:t xml:space="preserve"> </w:t>
      </w:r>
      <w:r w:rsidRPr="0046219C">
        <w:rPr>
          <w:rFonts w:cs="Mangal"/>
          <w:kern w:val="2"/>
          <w:lang w:eastAsia="hi-IN" w:bidi="hi-IN"/>
        </w:rPr>
        <w:t>uzrakstu izgatavošana,</w:t>
      </w:r>
      <w:r>
        <w:rPr>
          <w:rFonts w:cs="Mangal"/>
          <w:kern w:val="2"/>
          <w:lang w:eastAsia="hi-IN" w:bidi="hi-IN"/>
        </w:rPr>
        <w:t xml:space="preserve"> </w:t>
      </w:r>
      <w:r w:rsidRPr="0046219C">
        <w:rPr>
          <w:rFonts w:cs="Mangal"/>
          <w:kern w:val="2"/>
          <w:lang w:eastAsia="hi-IN" w:bidi="hi-IN"/>
        </w:rPr>
        <w:t>uzstādīšana atbilstoši Pasūtītāja prasībām – kpl.1” Lūdzu skaidrojumu par šo pozīciju, cik un kas?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b/>
          <w:bCs/>
          <w:kern w:val="2"/>
          <w:lang w:eastAsia="hi-IN" w:bidi="hi-IN"/>
        </w:rPr>
        <w:t>Atbilde:</w:t>
      </w:r>
      <w:r w:rsidRPr="0046219C">
        <w:rPr>
          <w:rFonts w:cs="Mangal"/>
          <w:kern w:val="2"/>
          <w:lang w:eastAsia="hi-IN" w:bidi="hi-IN"/>
        </w:rPr>
        <w:t xml:space="preserve"> Uzlīmes un uzraksti ir domāti, lai nodrošinātu vides pieejamību personām ar kustību traucējumiem. Līdz ar to, aprēķinot šīs pozīcijas izmaksas ir jāņem vērā normatīvajos a</w:t>
      </w:r>
      <w:r>
        <w:rPr>
          <w:rFonts w:cs="Mangal"/>
          <w:kern w:val="2"/>
          <w:lang w:eastAsia="hi-IN" w:bidi="hi-IN"/>
        </w:rPr>
        <w:t>kt</w:t>
      </w:r>
      <w:r w:rsidRPr="0046219C">
        <w:rPr>
          <w:rFonts w:cs="Mangal"/>
          <w:kern w:val="2"/>
          <w:lang w:eastAsia="hi-IN" w:bidi="hi-IN"/>
        </w:rPr>
        <w:t>os noteiktās prasības uzlīmju un uzrakstu izvietošanai personām ar kustību traucējumiem. Pasūtītājs normatīvajos aktos noteikto prasību robežās patur tiesības noteikt minēto uzlīmju un uzrakstu izvietojuma vietas.</w:t>
      </w:r>
    </w:p>
    <w:p w:rsidR="007664A8" w:rsidRPr="0046219C" w:rsidRDefault="007664A8" w:rsidP="0046219C">
      <w:pPr>
        <w:widowControl w:val="0"/>
        <w:suppressAutoHyphens/>
        <w:spacing w:before="120" w:after="120"/>
        <w:jc w:val="both"/>
        <w:rPr>
          <w:rFonts w:cs="Mangal"/>
          <w:kern w:val="2"/>
          <w:lang w:eastAsia="hi-IN" w:bidi="hi-IN"/>
        </w:rPr>
      </w:pPr>
      <w:r w:rsidRPr="0046219C">
        <w:rPr>
          <w:rFonts w:cs="Mangal"/>
          <w:kern w:val="2"/>
          <w:lang w:eastAsia="hi-IN" w:bidi="hi-IN"/>
        </w:rPr>
        <w:t>Iepirkuma komisija lūdz ieinteresētos piegādātājus ņemt vērā šajā vēstulē minēto informāciju, sagatavojot savu piedāvājumu Iepirkuma procedūrai.</w:t>
      </w:r>
    </w:p>
    <w:tbl>
      <w:tblPr>
        <w:tblW w:w="9750" w:type="dxa"/>
        <w:tblLayout w:type="fixed"/>
        <w:tblLook w:val="01E0"/>
      </w:tblPr>
      <w:tblGrid>
        <w:gridCol w:w="6230"/>
        <w:gridCol w:w="3520"/>
      </w:tblGrid>
      <w:tr w:rsidR="007664A8" w:rsidRPr="0046219C" w:rsidTr="00DB77E1">
        <w:tc>
          <w:tcPr>
            <w:tcW w:w="6230" w:type="dxa"/>
          </w:tcPr>
          <w:p w:rsidR="007664A8" w:rsidRPr="0046219C" w:rsidRDefault="007664A8" w:rsidP="0046219C">
            <w:pPr>
              <w:rPr>
                <w:u w:val="single"/>
              </w:rPr>
            </w:pPr>
          </w:p>
        </w:tc>
        <w:tc>
          <w:tcPr>
            <w:tcW w:w="3520" w:type="dxa"/>
            <w:vAlign w:val="bottom"/>
          </w:tcPr>
          <w:p w:rsidR="007664A8" w:rsidRPr="0046219C" w:rsidRDefault="007664A8" w:rsidP="0046219C">
            <w:pPr>
              <w:jc w:val="right"/>
              <w:outlineLvl w:val="0"/>
            </w:pPr>
          </w:p>
        </w:tc>
      </w:tr>
    </w:tbl>
    <w:p w:rsidR="007664A8" w:rsidRPr="0046219C" w:rsidRDefault="007664A8" w:rsidP="0046219C">
      <w:pPr>
        <w:rPr>
          <w:lang w:eastAsia="en-US"/>
        </w:rPr>
      </w:pPr>
      <w:r w:rsidRPr="0046219C">
        <w:rPr>
          <w:rFonts w:cs="Mangal"/>
          <w:kern w:val="2"/>
          <w:lang w:eastAsia="en-US" w:bidi="hi-IN"/>
        </w:rPr>
        <w:t>Iepirkuma komisijas priekšsēdētāja</w:t>
      </w:r>
      <w:r w:rsidRPr="0046219C">
        <w:rPr>
          <w:rFonts w:cs="Mangal"/>
          <w:kern w:val="2"/>
          <w:lang w:eastAsia="en-US" w:bidi="hi-IN"/>
        </w:rPr>
        <w:tab/>
      </w:r>
      <w:r w:rsidRPr="0046219C">
        <w:rPr>
          <w:rFonts w:cs="Mangal"/>
          <w:kern w:val="2"/>
          <w:lang w:eastAsia="en-US" w:bidi="hi-IN"/>
        </w:rPr>
        <w:tab/>
      </w:r>
      <w:r w:rsidRPr="0046219C">
        <w:rPr>
          <w:rFonts w:cs="Mangal"/>
          <w:kern w:val="2"/>
          <w:lang w:eastAsia="en-US" w:bidi="hi-IN"/>
        </w:rPr>
        <w:tab/>
      </w:r>
      <w:r w:rsidRPr="0046219C">
        <w:rPr>
          <w:rFonts w:cs="Mangal"/>
          <w:kern w:val="2"/>
          <w:lang w:eastAsia="en-US" w:bidi="hi-IN"/>
        </w:rPr>
        <w:tab/>
      </w:r>
      <w:r w:rsidRPr="0046219C">
        <w:rPr>
          <w:rFonts w:cs="Mangal"/>
          <w:kern w:val="2"/>
          <w:lang w:eastAsia="en-US" w:bidi="hi-IN"/>
        </w:rPr>
        <w:tab/>
        <w:t>J.Rudzīte</w:t>
      </w:r>
      <w:r w:rsidRPr="0046219C">
        <w:rPr>
          <w:lang w:eastAsia="en-US"/>
        </w:rPr>
        <w:tab/>
      </w:r>
    </w:p>
    <w:p w:rsidR="007664A8" w:rsidRPr="0046219C" w:rsidRDefault="007664A8" w:rsidP="0046219C">
      <w:pPr>
        <w:rPr>
          <w:lang w:eastAsia="en-US"/>
        </w:rPr>
      </w:pPr>
    </w:p>
    <w:p w:rsidR="007664A8" w:rsidRDefault="007664A8">
      <w:r w:rsidRPr="0046219C">
        <w:rPr>
          <w:i/>
          <w:sz w:val="20"/>
          <w:szCs w:val="20"/>
          <w:lang w:eastAsia="en-US"/>
        </w:rPr>
        <w:t>Ligers, 28230393</w:t>
      </w:r>
      <w:r w:rsidRPr="0046219C">
        <w:rPr>
          <w:i/>
          <w:sz w:val="20"/>
          <w:szCs w:val="20"/>
          <w:lang w:eastAsia="en-US"/>
        </w:rPr>
        <w:tab/>
      </w:r>
    </w:p>
    <w:sectPr w:rsidR="007664A8" w:rsidSect="00847466">
      <w:pgSz w:w="11906" w:h="16838"/>
      <w:pgMar w:top="540" w:right="1800" w:bottom="89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386"/>
    <w:rsid w:val="00025DF6"/>
    <w:rsid w:val="00083B79"/>
    <w:rsid w:val="00092090"/>
    <w:rsid w:val="000B24F4"/>
    <w:rsid w:val="000B4742"/>
    <w:rsid w:val="000E28D2"/>
    <w:rsid w:val="001C5EA9"/>
    <w:rsid w:val="002503E2"/>
    <w:rsid w:val="00271912"/>
    <w:rsid w:val="002D44DF"/>
    <w:rsid w:val="0046219C"/>
    <w:rsid w:val="00463DB6"/>
    <w:rsid w:val="00526E78"/>
    <w:rsid w:val="00550600"/>
    <w:rsid w:val="007664A8"/>
    <w:rsid w:val="00796386"/>
    <w:rsid w:val="00820D75"/>
    <w:rsid w:val="00847466"/>
    <w:rsid w:val="00890095"/>
    <w:rsid w:val="00951A4A"/>
    <w:rsid w:val="00960A1C"/>
    <w:rsid w:val="009827C7"/>
    <w:rsid w:val="009E23D5"/>
    <w:rsid w:val="00BE1445"/>
    <w:rsid w:val="00D00FF1"/>
    <w:rsid w:val="00DB77E1"/>
    <w:rsid w:val="00DE5D9E"/>
    <w:rsid w:val="00F55547"/>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8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3128</Words>
  <Characters>1784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Jelgavā, </dc:title>
  <dc:subject/>
  <dc:creator>hetero</dc:creator>
  <cp:keywords/>
  <dc:description/>
  <cp:lastModifiedBy>JAV</cp:lastModifiedBy>
  <cp:revision>5</cp:revision>
  <dcterms:created xsi:type="dcterms:W3CDTF">2013-08-24T06:34:00Z</dcterms:created>
  <dcterms:modified xsi:type="dcterms:W3CDTF">2013-08-24T06:37:00Z</dcterms:modified>
</cp:coreProperties>
</file>