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2A" w:rsidRPr="00BF14BD" w:rsidRDefault="00BA3346" w:rsidP="00F72EB7">
      <w:pPr>
        <w:jc w:val="center"/>
        <w:rPr>
          <w:b/>
        </w:rPr>
      </w:pPr>
      <w:r w:rsidRPr="00BF14BD">
        <w:rPr>
          <w:b/>
        </w:rPr>
        <w:t>Iepirkuma</w:t>
      </w:r>
      <w:r w:rsidR="00E4659E" w:rsidRPr="00BF14BD">
        <w:rPr>
          <w:b/>
        </w:rPr>
        <w:t xml:space="preserve"> </w:t>
      </w:r>
      <w:r w:rsidR="00F72EB7" w:rsidRPr="00BF14BD">
        <w:rPr>
          <w:b/>
        </w:rPr>
        <w:t>„</w:t>
      </w:r>
      <w:r w:rsidR="009C29F4" w:rsidRPr="009C29F4">
        <w:rPr>
          <w:rFonts w:cs="Arial"/>
          <w:b/>
          <w:bCs/>
          <w:sz w:val="26"/>
          <w:szCs w:val="28"/>
        </w:rPr>
        <w:t>Papildus darbu veikšana Jelgavas Tehnikuma infrastruktūras uzlabošanai</w:t>
      </w:r>
      <w:r w:rsidR="00952990">
        <w:rPr>
          <w:rFonts w:cs="Arial"/>
          <w:b/>
          <w:bCs/>
          <w:sz w:val="26"/>
          <w:szCs w:val="28"/>
        </w:rPr>
        <w:t>”</w:t>
      </w:r>
      <w:r w:rsidR="002B67C0" w:rsidRPr="00BF14BD">
        <w:rPr>
          <w:b/>
          <w:bCs/>
        </w:rPr>
        <w:t>,</w:t>
      </w:r>
    </w:p>
    <w:p w:rsidR="00664A9D" w:rsidRPr="00BF14BD" w:rsidRDefault="00ED442A" w:rsidP="00AD0A54">
      <w:pPr>
        <w:jc w:val="center"/>
        <w:rPr>
          <w:b/>
        </w:rPr>
      </w:pPr>
      <w:r w:rsidRPr="00BF14BD">
        <w:rPr>
          <w:b/>
          <w:bCs/>
        </w:rPr>
        <w:t xml:space="preserve"> identifikācijas Nr. </w:t>
      </w:r>
      <w:r w:rsidR="00737BD9" w:rsidRPr="00BF14BD">
        <w:rPr>
          <w:b/>
        </w:rPr>
        <w:t>JT</w:t>
      </w:r>
      <w:r w:rsidR="00F72EB7" w:rsidRPr="00BF14BD">
        <w:rPr>
          <w:b/>
        </w:rPr>
        <w:t xml:space="preserve"> </w:t>
      </w:r>
      <w:r w:rsidR="00D47803">
        <w:rPr>
          <w:b/>
        </w:rPr>
        <w:t>2014/</w:t>
      </w:r>
      <w:r w:rsidR="00952990">
        <w:rPr>
          <w:b/>
        </w:rPr>
        <w:t>1</w:t>
      </w:r>
      <w:r w:rsidR="00740462">
        <w:rPr>
          <w:b/>
        </w:rPr>
        <w:t>0</w:t>
      </w:r>
    </w:p>
    <w:p w:rsidR="002B67C0" w:rsidRPr="00BF14BD" w:rsidRDefault="002B67C0" w:rsidP="00AD0A54">
      <w:pPr>
        <w:jc w:val="center"/>
        <w:rPr>
          <w:b/>
        </w:rPr>
      </w:pPr>
    </w:p>
    <w:p w:rsidR="007068E2" w:rsidRPr="00BF14BD" w:rsidRDefault="008902FC" w:rsidP="00AD0A54">
      <w:pPr>
        <w:jc w:val="center"/>
        <w:rPr>
          <w:b/>
        </w:rPr>
      </w:pPr>
      <w:r>
        <w:rPr>
          <w:b/>
        </w:rPr>
        <w:t xml:space="preserve"> Ziņojums</w:t>
      </w:r>
    </w:p>
    <w:p w:rsidR="00412C88" w:rsidRPr="00BF14BD" w:rsidRDefault="00D47803" w:rsidP="00AD0A54">
      <w:pPr>
        <w:jc w:val="both"/>
      </w:pPr>
      <w:r>
        <w:t xml:space="preserve">2014.gada </w:t>
      </w:r>
      <w:r w:rsidR="00B75F2A">
        <w:t>08</w:t>
      </w:r>
      <w:r w:rsidR="00AC324E">
        <w:t>.jūlijā</w:t>
      </w:r>
    </w:p>
    <w:p w:rsidR="007068E2" w:rsidRPr="00BF14BD" w:rsidRDefault="007068E2" w:rsidP="00AD0A54">
      <w:pPr>
        <w:jc w:val="both"/>
      </w:pPr>
    </w:p>
    <w:p w:rsidR="0077357D" w:rsidRPr="00BF14BD" w:rsidRDefault="00412C88" w:rsidP="00737BD9">
      <w:pPr>
        <w:pStyle w:val="Rindkopa"/>
        <w:ind w:left="0"/>
        <w:rPr>
          <w:rFonts w:ascii="Times New Roman" w:hAnsi="Times New Roman"/>
          <w:sz w:val="24"/>
        </w:rPr>
      </w:pPr>
      <w:r w:rsidRPr="00BF14BD">
        <w:rPr>
          <w:rFonts w:ascii="Times New Roman" w:hAnsi="Times New Roman"/>
          <w:b/>
          <w:sz w:val="24"/>
          <w:u w:val="single"/>
        </w:rPr>
        <w:t>Pasūtītājs</w:t>
      </w:r>
      <w:r w:rsidRPr="00BF14BD">
        <w:rPr>
          <w:rFonts w:ascii="Times New Roman" w:hAnsi="Times New Roman"/>
          <w:sz w:val="24"/>
        </w:rPr>
        <w:t xml:space="preserve">: </w:t>
      </w:r>
      <w:r w:rsidR="00737BD9" w:rsidRPr="00BF14BD">
        <w:rPr>
          <w:rFonts w:ascii="Times New Roman" w:hAnsi="Times New Roman"/>
          <w:sz w:val="24"/>
        </w:rPr>
        <w:t>Jelgavas Tehnikums, Pulkveža O.Kalpaka iela 37, Jelgava, LV-3001</w:t>
      </w:r>
    </w:p>
    <w:p w:rsidR="0077357D" w:rsidRPr="00BF14BD" w:rsidRDefault="00412C88" w:rsidP="00AD0A54">
      <w:pPr>
        <w:jc w:val="both"/>
        <w:rPr>
          <w:b/>
          <w:u w:val="single"/>
        </w:rPr>
      </w:pPr>
      <w:r w:rsidRPr="00BF14BD">
        <w:rPr>
          <w:b/>
          <w:u w:val="single"/>
        </w:rPr>
        <w:t>Iepirkuma priekšmets</w:t>
      </w:r>
      <w:r w:rsidRPr="00BF14BD">
        <w:t>:</w:t>
      </w:r>
      <w:r w:rsidR="00886754" w:rsidRPr="00BF14BD">
        <w:t xml:space="preserve"> </w:t>
      </w:r>
      <w:r w:rsidR="009C29F4" w:rsidRPr="009C29F4">
        <w:rPr>
          <w:rFonts w:cs="Arial"/>
          <w:bCs/>
        </w:rPr>
        <w:t>Papildus darbu veikšana Jelgavas Tehnikuma infrastruktūras uzlabošanai</w:t>
      </w:r>
    </w:p>
    <w:p w:rsidR="0077357D" w:rsidRPr="00BF14BD" w:rsidRDefault="00412C88" w:rsidP="00AD0A54">
      <w:pPr>
        <w:jc w:val="both"/>
      </w:pPr>
      <w:r w:rsidRPr="00BF14BD">
        <w:rPr>
          <w:b/>
          <w:u w:val="single"/>
        </w:rPr>
        <w:t>Iepirkuma metode un identifikācijas numurs:</w:t>
      </w:r>
      <w:r w:rsidR="004E4096" w:rsidRPr="00BF14BD">
        <w:t xml:space="preserve"> </w:t>
      </w:r>
      <w:r w:rsidR="001E3B00" w:rsidRPr="00BF14BD">
        <w:t xml:space="preserve">iepirkums, kas organizēts saskaņā </w:t>
      </w:r>
      <w:r w:rsidR="00BF7EE0" w:rsidRPr="00BF14BD">
        <w:t>ar Publisko iepirkumu likuma 8</w:t>
      </w:r>
      <w:r w:rsidR="00D47803">
        <w:rPr>
          <w:vertAlign w:val="superscript"/>
        </w:rPr>
        <w:t>2</w:t>
      </w:r>
      <w:r w:rsidR="00BF7EE0" w:rsidRPr="00BF14BD">
        <w:t>.pantu</w:t>
      </w:r>
      <w:r w:rsidR="00070636" w:rsidRPr="00BF14BD">
        <w:t>,</w:t>
      </w:r>
      <w:r w:rsidR="00664A9D" w:rsidRPr="00BF14BD">
        <w:t xml:space="preserve"> iepirkuma identifikācijas Nr.</w:t>
      </w:r>
      <w:r w:rsidR="00070636" w:rsidRPr="00BF14BD">
        <w:t xml:space="preserve"> </w:t>
      </w:r>
      <w:r w:rsidR="00737BD9" w:rsidRPr="00BF14BD">
        <w:rPr>
          <w:bCs/>
        </w:rPr>
        <w:t xml:space="preserve">JT </w:t>
      </w:r>
      <w:r w:rsidR="00D47803">
        <w:rPr>
          <w:bCs/>
        </w:rPr>
        <w:t>2014/</w:t>
      </w:r>
      <w:r w:rsidR="00952990">
        <w:rPr>
          <w:bCs/>
        </w:rPr>
        <w:t>1</w:t>
      </w:r>
      <w:r w:rsidR="00740462">
        <w:rPr>
          <w:bCs/>
        </w:rPr>
        <w:t>0</w:t>
      </w:r>
      <w:r w:rsidR="00886754" w:rsidRPr="00BF14BD">
        <w:t>.</w:t>
      </w:r>
    </w:p>
    <w:p w:rsidR="009C29F4" w:rsidRDefault="00217BB4" w:rsidP="009C29F4">
      <w:pPr>
        <w:jc w:val="both"/>
      </w:pPr>
      <w:r w:rsidRPr="00BF14BD">
        <w:rPr>
          <w:b/>
          <w:u w:val="single"/>
        </w:rPr>
        <w:t>Iepirkuma komisija</w:t>
      </w:r>
      <w:r w:rsidRPr="00BF14BD">
        <w:t xml:space="preserve">: </w:t>
      </w:r>
      <w:r w:rsidR="009C29F4" w:rsidRPr="009C29F4">
        <w:t>Izveidota pamatojoties uz Jelgavas Tehnikuma direktores Janīnas Rudzītes 2012.gada 22.oktobra rīkojumu Nr.1-8/420</w:t>
      </w:r>
      <w:r w:rsidR="00EB2F00">
        <w:t>, 2014.gada 19.jūnija rīkojumu Nr.1-8/234a</w:t>
      </w:r>
      <w:r w:rsidR="009C29F4" w:rsidRPr="009C29F4">
        <w:t>.</w:t>
      </w:r>
    </w:p>
    <w:p w:rsidR="009C29F4" w:rsidRPr="009C29F4" w:rsidRDefault="009C29F4" w:rsidP="009C29F4">
      <w:pPr>
        <w:jc w:val="both"/>
        <w:rPr>
          <w:b/>
          <w:u w:val="single"/>
        </w:rPr>
      </w:pPr>
      <w:r w:rsidRPr="009C29F4">
        <w:rPr>
          <w:b/>
          <w:u w:val="single"/>
        </w:rPr>
        <w:t>Komisijas sastāvs:</w:t>
      </w:r>
    </w:p>
    <w:p w:rsidR="009C29F4" w:rsidRPr="009C29F4" w:rsidRDefault="009C29F4" w:rsidP="009C29F4">
      <w:pPr>
        <w:jc w:val="both"/>
        <w:rPr>
          <w:lang w:val="x-none" w:eastAsia="x-none"/>
        </w:rPr>
      </w:pPr>
      <w:r w:rsidRPr="009C29F4">
        <w:rPr>
          <w:lang w:val="x-none" w:eastAsia="x-none"/>
        </w:rPr>
        <w:t xml:space="preserve">Komisijas priekšsēdētāja: </w:t>
      </w:r>
      <w:r w:rsidR="00EB2F00">
        <w:rPr>
          <w:lang w:eastAsia="x-none"/>
        </w:rPr>
        <w:t>Nona Jakušova</w:t>
      </w:r>
      <w:r w:rsidRPr="009C29F4">
        <w:rPr>
          <w:lang w:val="x-none" w:eastAsia="x-none"/>
        </w:rPr>
        <w:t>;</w:t>
      </w:r>
    </w:p>
    <w:p w:rsidR="009C29F4" w:rsidRPr="009C29F4" w:rsidRDefault="009C29F4" w:rsidP="009C29F4">
      <w:pPr>
        <w:jc w:val="both"/>
        <w:rPr>
          <w:lang w:val="x-none" w:eastAsia="x-none"/>
        </w:rPr>
      </w:pPr>
      <w:r w:rsidRPr="009C29F4">
        <w:rPr>
          <w:lang w:val="x-none" w:eastAsia="x-none"/>
        </w:rPr>
        <w:t>Komisijas priekšsēdētāja vietnieks: Uldis Sokolovs;</w:t>
      </w:r>
    </w:p>
    <w:p w:rsidR="009C29F4" w:rsidRPr="009C29F4" w:rsidRDefault="009C29F4" w:rsidP="009C29F4">
      <w:pPr>
        <w:jc w:val="both"/>
        <w:rPr>
          <w:lang w:val="x-none" w:eastAsia="x-none"/>
        </w:rPr>
      </w:pPr>
      <w:r w:rsidRPr="009C29F4">
        <w:rPr>
          <w:lang w:val="x-none" w:eastAsia="x-none"/>
        </w:rPr>
        <w:t>Komisijas locekļi:</w:t>
      </w:r>
    </w:p>
    <w:p w:rsidR="009C29F4" w:rsidRPr="009C29F4" w:rsidRDefault="009C29F4" w:rsidP="009C29F4">
      <w:pPr>
        <w:jc w:val="both"/>
        <w:outlineLvl w:val="0"/>
        <w:rPr>
          <w:lang w:val="x-none" w:eastAsia="x-none"/>
        </w:rPr>
      </w:pPr>
      <w:r w:rsidRPr="009C29F4">
        <w:rPr>
          <w:lang w:val="x-none" w:eastAsia="x-none"/>
        </w:rPr>
        <w:t>Normunds Osīts;</w:t>
      </w:r>
    </w:p>
    <w:p w:rsidR="009C29F4" w:rsidRPr="009C29F4" w:rsidRDefault="009C29F4" w:rsidP="009C29F4">
      <w:pPr>
        <w:jc w:val="both"/>
        <w:outlineLvl w:val="0"/>
        <w:rPr>
          <w:lang w:val="x-none" w:eastAsia="x-none"/>
        </w:rPr>
      </w:pPr>
      <w:r w:rsidRPr="009C29F4">
        <w:rPr>
          <w:lang w:val="x-none" w:eastAsia="x-none"/>
        </w:rPr>
        <w:t>Anna Černaja;</w:t>
      </w:r>
    </w:p>
    <w:p w:rsidR="009C29F4" w:rsidRPr="009C29F4" w:rsidRDefault="009C29F4" w:rsidP="009C29F4">
      <w:pPr>
        <w:jc w:val="both"/>
        <w:outlineLvl w:val="0"/>
        <w:rPr>
          <w:lang w:val="x-none" w:eastAsia="x-none"/>
        </w:rPr>
      </w:pPr>
      <w:r w:rsidRPr="009C29F4">
        <w:rPr>
          <w:lang w:val="x-none" w:eastAsia="x-none"/>
        </w:rPr>
        <w:t xml:space="preserve">Laura </w:t>
      </w:r>
      <w:proofErr w:type="spellStart"/>
      <w:r w:rsidRPr="009C29F4">
        <w:rPr>
          <w:lang w:val="x-none" w:eastAsia="x-none"/>
        </w:rPr>
        <w:t>Skorom</w:t>
      </w:r>
      <w:r w:rsidRPr="009C29F4">
        <w:rPr>
          <w:lang w:eastAsia="x-none"/>
        </w:rPr>
        <w:t>k</w:t>
      </w:r>
      <w:proofErr w:type="spellEnd"/>
      <w:r w:rsidRPr="009C29F4">
        <w:rPr>
          <w:lang w:val="x-none" w:eastAsia="x-none"/>
        </w:rPr>
        <w:t>a.</w:t>
      </w:r>
    </w:p>
    <w:p w:rsidR="009C29F4" w:rsidRPr="009C29F4" w:rsidRDefault="009C29F4" w:rsidP="009C29F4">
      <w:pPr>
        <w:jc w:val="both"/>
        <w:outlineLvl w:val="0"/>
        <w:rPr>
          <w:lang w:val="x-none" w:eastAsia="x-none"/>
        </w:rPr>
      </w:pPr>
      <w:r w:rsidRPr="009C29F4">
        <w:rPr>
          <w:lang w:val="x-none" w:eastAsia="x-none"/>
        </w:rPr>
        <w:t xml:space="preserve">Komisijas sekretāre: Laura </w:t>
      </w:r>
      <w:proofErr w:type="spellStart"/>
      <w:r w:rsidRPr="009C29F4">
        <w:rPr>
          <w:lang w:val="x-none" w:eastAsia="x-none"/>
        </w:rPr>
        <w:t>Skorom</w:t>
      </w:r>
      <w:r w:rsidRPr="009C29F4">
        <w:rPr>
          <w:lang w:eastAsia="x-none"/>
        </w:rPr>
        <w:t>k</w:t>
      </w:r>
      <w:proofErr w:type="spellEnd"/>
      <w:r w:rsidRPr="009C29F4">
        <w:rPr>
          <w:lang w:val="x-none" w:eastAsia="x-none"/>
        </w:rPr>
        <w:t>a.</w:t>
      </w:r>
    </w:p>
    <w:p w:rsidR="00F72EB7" w:rsidRPr="00D47803" w:rsidRDefault="00F72EB7" w:rsidP="009C29F4">
      <w:pPr>
        <w:jc w:val="both"/>
      </w:pPr>
    </w:p>
    <w:p w:rsidR="008902FC" w:rsidRPr="00A70AA6" w:rsidRDefault="008902FC" w:rsidP="008902FC">
      <w:pPr>
        <w:jc w:val="both"/>
        <w:outlineLvl w:val="0"/>
        <w:rPr>
          <w:lang w:eastAsia="x-none"/>
        </w:rPr>
      </w:pPr>
      <w:r w:rsidRPr="00A70AA6">
        <w:rPr>
          <w:b/>
          <w:u w:val="single"/>
          <w:lang w:val="x-none" w:eastAsia="x-none"/>
        </w:rPr>
        <w:t>Pretendentiem noteiktās prasības:</w:t>
      </w:r>
      <w:r w:rsidRPr="00A70AA6">
        <w:rPr>
          <w:lang w:val="x-none" w:eastAsia="x-none"/>
        </w:rPr>
        <w:t xml:space="preserve"> noteiktas iepirkuma nolikumā.</w:t>
      </w:r>
    </w:p>
    <w:p w:rsidR="008902FC" w:rsidRPr="00A70AA6" w:rsidRDefault="008902FC" w:rsidP="008902FC">
      <w:pPr>
        <w:jc w:val="both"/>
        <w:outlineLvl w:val="0"/>
        <w:rPr>
          <w:lang w:eastAsia="x-none"/>
        </w:rPr>
      </w:pPr>
    </w:p>
    <w:p w:rsidR="008902FC" w:rsidRPr="00A70AA6" w:rsidRDefault="008902FC" w:rsidP="008902FC">
      <w:pPr>
        <w:jc w:val="both"/>
      </w:pPr>
      <w:r w:rsidRPr="00A70AA6">
        <w:rPr>
          <w:b/>
          <w:u w:val="single"/>
        </w:rPr>
        <w:t>Piedāvājumu izvēles kritērijs:</w:t>
      </w:r>
      <w:r w:rsidRPr="00A70AA6">
        <w:t xml:space="preserve"> saskaņā ar Iepirkuma nolikuma 9.3.punktu par piedāvājumu izvēles kritēriju noteikts saimnieciski visizdevīgākais piedāvājums, kas tiek aprēķināts </w:t>
      </w:r>
      <w:r>
        <w:t>šādi</w:t>
      </w:r>
      <w:r w:rsidRPr="00A70A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25"/>
      </w:tblGrid>
      <w:tr w:rsidR="008902FC" w:rsidRPr="00A70AA6" w:rsidTr="005837F9">
        <w:tc>
          <w:tcPr>
            <w:tcW w:w="5140" w:type="dxa"/>
            <w:shd w:val="pct10" w:color="auto" w:fill="auto"/>
          </w:tcPr>
          <w:p w:rsidR="008902FC" w:rsidRPr="00A70AA6" w:rsidRDefault="008902FC" w:rsidP="005837F9">
            <w:pPr>
              <w:ind w:right="680"/>
              <w:jc w:val="center"/>
            </w:pPr>
            <w:r w:rsidRPr="00A70AA6">
              <w:t>Kritērijs</w:t>
            </w:r>
          </w:p>
        </w:tc>
        <w:tc>
          <w:tcPr>
            <w:tcW w:w="5140" w:type="dxa"/>
            <w:shd w:val="pct10" w:color="auto" w:fill="auto"/>
          </w:tcPr>
          <w:p w:rsidR="008902FC" w:rsidRPr="00A70AA6" w:rsidRDefault="008902FC" w:rsidP="005837F9">
            <w:pPr>
              <w:ind w:right="680"/>
              <w:jc w:val="center"/>
            </w:pPr>
            <w:r w:rsidRPr="00A70AA6">
              <w:t>Piešķiramo punktu skaits</w:t>
            </w:r>
          </w:p>
        </w:tc>
      </w:tr>
      <w:tr w:rsidR="008902FC" w:rsidRPr="00A70AA6" w:rsidTr="005837F9">
        <w:tc>
          <w:tcPr>
            <w:tcW w:w="5140" w:type="dxa"/>
            <w:shd w:val="clear" w:color="auto" w:fill="auto"/>
            <w:vAlign w:val="center"/>
          </w:tcPr>
          <w:p w:rsidR="008902FC" w:rsidRPr="00A70AA6" w:rsidRDefault="008902FC" w:rsidP="005837F9">
            <w:pPr>
              <w:ind w:right="680"/>
              <w:jc w:val="center"/>
            </w:pPr>
            <w:r w:rsidRPr="00A70AA6">
              <w:t>Cena</w:t>
            </w:r>
          </w:p>
        </w:tc>
        <w:tc>
          <w:tcPr>
            <w:tcW w:w="5140" w:type="dxa"/>
            <w:shd w:val="clear" w:color="auto" w:fill="auto"/>
            <w:vAlign w:val="center"/>
          </w:tcPr>
          <w:p w:rsidR="008902FC" w:rsidRPr="00A70AA6" w:rsidRDefault="008902FC" w:rsidP="005837F9">
            <w:pPr>
              <w:ind w:right="-1"/>
              <w:jc w:val="center"/>
            </w:pPr>
            <w:r w:rsidRPr="00A70AA6">
              <w:t>50</w:t>
            </w:r>
          </w:p>
        </w:tc>
      </w:tr>
      <w:tr w:rsidR="008902FC" w:rsidRPr="00A70AA6" w:rsidTr="005837F9">
        <w:tc>
          <w:tcPr>
            <w:tcW w:w="5140" w:type="dxa"/>
            <w:shd w:val="clear" w:color="auto" w:fill="auto"/>
            <w:vAlign w:val="center"/>
          </w:tcPr>
          <w:p w:rsidR="008902FC" w:rsidRPr="00A70AA6" w:rsidRDefault="008902FC" w:rsidP="005837F9">
            <w:pPr>
              <w:ind w:right="680"/>
              <w:jc w:val="center"/>
            </w:pPr>
            <w:r w:rsidRPr="00A70AA6">
              <w:t>Darbu izpildes termiņš (dienās)</w:t>
            </w:r>
          </w:p>
        </w:tc>
        <w:tc>
          <w:tcPr>
            <w:tcW w:w="5140" w:type="dxa"/>
            <w:shd w:val="clear" w:color="auto" w:fill="auto"/>
            <w:vAlign w:val="center"/>
          </w:tcPr>
          <w:p w:rsidR="008902FC" w:rsidRPr="00A70AA6" w:rsidRDefault="008902FC" w:rsidP="005837F9">
            <w:pPr>
              <w:ind w:right="-1"/>
              <w:jc w:val="center"/>
            </w:pPr>
            <w:r w:rsidRPr="00A70AA6">
              <w:t>50</w:t>
            </w:r>
          </w:p>
        </w:tc>
      </w:tr>
      <w:tr w:rsidR="008902FC" w:rsidRPr="00A70AA6" w:rsidTr="005837F9">
        <w:tc>
          <w:tcPr>
            <w:tcW w:w="5140" w:type="dxa"/>
            <w:shd w:val="clear" w:color="auto" w:fill="auto"/>
            <w:vAlign w:val="center"/>
          </w:tcPr>
          <w:p w:rsidR="008902FC" w:rsidRPr="00A70AA6" w:rsidRDefault="008902FC" w:rsidP="005837F9">
            <w:pPr>
              <w:ind w:right="680"/>
              <w:jc w:val="center"/>
              <w:rPr>
                <w:b/>
              </w:rPr>
            </w:pPr>
            <w:r w:rsidRPr="00A70AA6">
              <w:rPr>
                <w:b/>
              </w:rPr>
              <w:t>Maksimālais piešķiramo punktu skaits</w:t>
            </w:r>
          </w:p>
        </w:tc>
        <w:tc>
          <w:tcPr>
            <w:tcW w:w="5140" w:type="dxa"/>
            <w:shd w:val="clear" w:color="auto" w:fill="auto"/>
            <w:vAlign w:val="center"/>
          </w:tcPr>
          <w:p w:rsidR="008902FC" w:rsidRPr="00A70AA6" w:rsidRDefault="008902FC" w:rsidP="005837F9">
            <w:pPr>
              <w:ind w:right="-1"/>
              <w:jc w:val="center"/>
              <w:rPr>
                <w:b/>
              </w:rPr>
            </w:pPr>
            <w:r w:rsidRPr="00A70AA6">
              <w:rPr>
                <w:b/>
              </w:rPr>
              <w:t>100</w:t>
            </w:r>
          </w:p>
        </w:tc>
      </w:tr>
    </w:tbl>
    <w:p w:rsidR="008902FC" w:rsidRPr="00A70AA6" w:rsidRDefault="008902FC" w:rsidP="008902FC">
      <w:pPr>
        <w:ind w:right="680"/>
        <w:jc w:val="both"/>
      </w:pPr>
      <w:r w:rsidRPr="00A70AA6">
        <w:t>Punkti saimnieciski visizdevīgākā piedāvājuma noteikšanas kritērija „Cena” ietvaros tiek piešķirti, izmantojot šādu formulu:</w:t>
      </w:r>
    </w:p>
    <w:p w:rsidR="008902FC" w:rsidRPr="00A70AA6" w:rsidRDefault="008902FC" w:rsidP="008902FC">
      <w:pPr>
        <w:ind w:right="680"/>
        <w:rPr>
          <w:b/>
        </w:rPr>
      </w:pPr>
      <w:r w:rsidRPr="00A70AA6">
        <w:rPr>
          <w:b/>
        </w:rPr>
        <w:t xml:space="preserve">Ap = </w:t>
      </w:r>
      <w:proofErr w:type="spellStart"/>
      <w:r w:rsidRPr="00A70AA6">
        <w:rPr>
          <w:b/>
        </w:rPr>
        <w:t>Ax</w:t>
      </w:r>
      <w:proofErr w:type="spellEnd"/>
      <w:r w:rsidRPr="00A70AA6">
        <w:rPr>
          <w:b/>
        </w:rPr>
        <w:t>/</w:t>
      </w:r>
      <w:proofErr w:type="spellStart"/>
      <w:r w:rsidRPr="00A70AA6">
        <w:rPr>
          <w:b/>
        </w:rPr>
        <w:t>Ay</w:t>
      </w:r>
      <w:proofErr w:type="spellEnd"/>
      <w:r w:rsidRPr="00A70AA6">
        <w:rPr>
          <w:b/>
        </w:rPr>
        <w:t xml:space="preserve"> x P</w:t>
      </w:r>
      <w:r w:rsidRPr="00A70AA6">
        <w:t>, kur</w:t>
      </w:r>
    </w:p>
    <w:p w:rsidR="008902FC" w:rsidRPr="00A70AA6" w:rsidRDefault="008902FC" w:rsidP="008902FC">
      <w:pPr>
        <w:ind w:right="680"/>
        <w:jc w:val="both"/>
      </w:pPr>
      <w:r w:rsidRPr="00A70AA6">
        <w:t>Ap – iegūto punktu skaits kritērija ietvaros,</w:t>
      </w:r>
    </w:p>
    <w:p w:rsidR="008902FC" w:rsidRPr="00A70AA6" w:rsidRDefault="008902FC" w:rsidP="008902FC">
      <w:pPr>
        <w:ind w:right="680"/>
        <w:jc w:val="both"/>
      </w:pPr>
      <w:proofErr w:type="spellStart"/>
      <w:r w:rsidRPr="00A70AA6">
        <w:t>Ax</w:t>
      </w:r>
      <w:proofErr w:type="spellEnd"/>
      <w:r w:rsidRPr="00A70AA6">
        <w:t xml:space="preserve"> – lētākā piedāvājuma cena,</w:t>
      </w:r>
    </w:p>
    <w:p w:rsidR="008902FC" w:rsidRPr="00A70AA6" w:rsidRDefault="008902FC" w:rsidP="008902FC">
      <w:pPr>
        <w:ind w:right="680"/>
        <w:jc w:val="both"/>
      </w:pPr>
      <w:proofErr w:type="spellStart"/>
      <w:r w:rsidRPr="00A70AA6">
        <w:t>Ay</w:t>
      </w:r>
      <w:proofErr w:type="spellEnd"/>
      <w:r w:rsidRPr="00A70AA6">
        <w:t xml:space="preserve"> – vērtējamā piedāvājuma cena,</w:t>
      </w:r>
    </w:p>
    <w:p w:rsidR="008902FC" w:rsidRPr="00A70AA6" w:rsidRDefault="008902FC" w:rsidP="008902FC">
      <w:pPr>
        <w:ind w:right="680"/>
        <w:jc w:val="both"/>
      </w:pPr>
      <w:r w:rsidRPr="00A70AA6">
        <w:t>P – maksimālais punktu skaits cenai.</w:t>
      </w:r>
    </w:p>
    <w:p w:rsidR="008902FC" w:rsidRPr="00A70AA6" w:rsidRDefault="008902FC" w:rsidP="008902FC">
      <w:pPr>
        <w:ind w:right="680"/>
        <w:jc w:val="both"/>
      </w:pPr>
      <w:r w:rsidRPr="00A70AA6">
        <w:t>Punkti saimnieciski izdevīgākā piedāvājuma noteikšanas kritērija „Darbu izpildes termiņš” ietvaros tiek piešķirti, izmantojot šādu formulu:</w:t>
      </w:r>
    </w:p>
    <w:p w:rsidR="008902FC" w:rsidRPr="00A70AA6" w:rsidRDefault="008902FC" w:rsidP="008902FC">
      <w:pPr>
        <w:ind w:right="680"/>
      </w:pPr>
      <w:proofErr w:type="spellStart"/>
      <w:r w:rsidRPr="00A70AA6">
        <w:rPr>
          <w:b/>
        </w:rPr>
        <w:t>Bp</w:t>
      </w:r>
      <w:proofErr w:type="spellEnd"/>
      <w:r w:rsidRPr="00A70AA6">
        <w:rPr>
          <w:b/>
        </w:rPr>
        <w:t xml:space="preserve"> = </w:t>
      </w:r>
      <w:proofErr w:type="spellStart"/>
      <w:r w:rsidRPr="00A70AA6">
        <w:rPr>
          <w:b/>
        </w:rPr>
        <w:t>Bx</w:t>
      </w:r>
      <w:proofErr w:type="spellEnd"/>
      <w:r w:rsidRPr="00A70AA6">
        <w:rPr>
          <w:b/>
        </w:rPr>
        <w:t>/</w:t>
      </w:r>
      <w:proofErr w:type="spellStart"/>
      <w:r w:rsidRPr="00A70AA6">
        <w:rPr>
          <w:b/>
        </w:rPr>
        <w:t>By</w:t>
      </w:r>
      <w:proofErr w:type="spellEnd"/>
      <w:r w:rsidRPr="00A70AA6">
        <w:rPr>
          <w:b/>
        </w:rPr>
        <w:t xml:space="preserve"> x P</w:t>
      </w:r>
      <w:r w:rsidRPr="00A70AA6">
        <w:t>, kur</w:t>
      </w:r>
    </w:p>
    <w:p w:rsidR="008902FC" w:rsidRPr="00A70AA6" w:rsidRDefault="008902FC" w:rsidP="008902FC">
      <w:pPr>
        <w:ind w:right="680"/>
        <w:jc w:val="both"/>
      </w:pPr>
      <w:proofErr w:type="spellStart"/>
      <w:r w:rsidRPr="00A70AA6">
        <w:t>Bp</w:t>
      </w:r>
      <w:proofErr w:type="spellEnd"/>
      <w:r w:rsidRPr="00A70AA6">
        <w:t xml:space="preserve"> – iegūto punktu skaits kritērija ietvaros, </w:t>
      </w:r>
    </w:p>
    <w:p w:rsidR="008902FC" w:rsidRPr="00A70AA6" w:rsidRDefault="008902FC" w:rsidP="008902FC">
      <w:pPr>
        <w:ind w:right="680"/>
        <w:jc w:val="both"/>
      </w:pPr>
      <w:proofErr w:type="spellStart"/>
      <w:r w:rsidRPr="00A70AA6">
        <w:t>Bx</w:t>
      </w:r>
      <w:proofErr w:type="spellEnd"/>
      <w:r w:rsidRPr="00A70AA6">
        <w:t xml:space="preserve"> – īsākais piedāvātais darbu izpildes termiņš dienās, </w:t>
      </w:r>
    </w:p>
    <w:p w:rsidR="008902FC" w:rsidRPr="00A70AA6" w:rsidRDefault="008902FC" w:rsidP="008902FC">
      <w:pPr>
        <w:ind w:right="680"/>
        <w:jc w:val="both"/>
      </w:pPr>
      <w:proofErr w:type="spellStart"/>
      <w:r w:rsidRPr="00A70AA6">
        <w:t>By</w:t>
      </w:r>
      <w:proofErr w:type="spellEnd"/>
      <w:r w:rsidRPr="00A70AA6">
        <w:t xml:space="preserve"> – vērtējamā piedāvājumā norādītais darbu izpildes termiņš dienās, </w:t>
      </w:r>
    </w:p>
    <w:p w:rsidR="008902FC" w:rsidRPr="00A70AA6" w:rsidRDefault="008902FC" w:rsidP="008902FC">
      <w:pPr>
        <w:ind w:right="680"/>
        <w:jc w:val="both"/>
      </w:pPr>
      <w:r w:rsidRPr="00A70AA6">
        <w:t>P – maksimālais punktu skaits darbu izpildes termiņam.</w:t>
      </w:r>
    </w:p>
    <w:p w:rsidR="008902FC" w:rsidRPr="00A70AA6" w:rsidRDefault="008902FC" w:rsidP="008902FC">
      <w:pPr>
        <w:jc w:val="both"/>
      </w:pPr>
    </w:p>
    <w:p w:rsidR="008902FC" w:rsidRPr="00A70AA6" w:rsidRDefault="008902FC" w:rsidP="008902FC">
      <w:pPr>
        <w:jc w:val="both"/>
        <w:rPr>
          <w:b/>
          <w:u w:val="single"/>
        </w:rPr>
      </w:pPr>
      <w:r w:rsidRPr="00A70AA6">
        <w:rPr>
          <w:b/>
          <w:u w:val="single"/>
        </w:rPr>
        <w:t>Pretendents, kurš iesniedzis savu piedāvājumu, tā piedāvātā līgumcena, kā arī darbu izpildes termiņš:</w:t>
      </w:r>
    </w:p>
    <w:p w:rsidR="008902FC" w:rsidRPr="00A70AA6" w:rsidRDefault="008902FC" w:rsidP="008902FC">
      <w:pPr>
        <w:tabs>
          <w:tab w:val="left" w:pos="2410"/>
          <w:tab w:val="num" w:pos="2880"/>
        </w:tabs>
        <w:ind w:right="-27"/>
        <w:jc w:val="both"/>
      </w:pPr>
      <w:r w:rsidRPr="00A70AA6">
        <w:lastRenderedPageBreak/>
        <w:t>Iepirkuma ietvaros savu piedāvājumu viens pretendents SIA „</w:t>
      </w:r>
      <w:r>
        <w:t>Arčers</w:t>
      </w:r>
      <w:r w:rsidRPr="00A70AA6">
        <w:t>”, piedāvātā līgumcena par Iepirkuma nolikumā noteikt</w:t>
      </w:r>
      <w:r>
        <w:t>o</w:t>
      </w:r>
      <w:r w:rsidRPr="00A70AA6">
        <w:t xml:space="preserve"> darbu izpildi – EUR </w:t>
      </w:r>
      <w:r>
        <w:t>54 667,52</w:t>
      </w:r>
      <w:r w:rsidRPr="00A70AA6">
        <w:t>. Darbus saskaņā ar Iepirkuma nolik</w:t>
      </w:r>
      <w:r>
        <w:t>uma 2.3.punktu piedāvāts veikt 10</w:t>
      </w:r>
      <w:r w:rsidRPr="00A70AA6">
        <w:t xml:space="preserve"> dienu laikā.</w:t>
      </w:r>
    </w:p>
    <w:p w:rsidR="008902FC" w:rsidRPr="00A70AA6" w:rsidRDefault="008902FC" w:rsidP="008902FC">
      <w:pPr>
        <w:tabs>
          <w:tab w:val="left" w:pos="2410"/>
          <w:tab w:val="num" w:pos="2880"/>
        </w:tabs>
        <w:ind w:right="-27"/>
        <w:jc w:val="both"/>
      </w:pPr>
    </w:p>
    <w:p w:rsidR="008902FC" w:rsidRPr="00A70AA6" w:rsidRDefault="008902FC" w:rsidP="008902FC">
      <w:pPr>
        <w:jc w:val="both"/>
        <w:rPr>
          <w:b/>
          <w:u w:val="single"/>
        </w:rPr>
      </w:pPr>
      <w:r w:rsidRPr="00A70AA6">
        <w:rPr>
          <w:b/>
          <w:u w:val="single"/>
        </w:rPr>
        <w:t xml:space="preserve">Piedāvājuma vērtēšanas kopsavilkums: </w:t>
      </w:r>
    </w:p>
    <w:p w:rsidR="008902FC" w:rsidRPr="00A70AA6" w:rsidRDefault="008902FC" w:rsidP="008902FC">
      <w:pPr>
        <w:ind w:firstLine="720"/>
        <w:jc w:val="both"/>
      </w:pPr>
      <w:r w:rsidRPr="00A70AA6">
        <w:t>Publisko iepirkumu likuma 8.</w:t>
      </w:r>
      <w:r w:rsidRPr="00A70AA6">
        <w:rPr>
          <w:vertAlign w:val="superscript"/>
        </w:rPr>
        <w:t>2</w:t>
      </w:r>
      <w:r w:rsidRPr="00A70AA6">
        <w:t xml:space="preserve"> panta devītajā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Prasība, pēc kuras tiek izraudzīts pretendents, kam piešķiramas līguma slēgšanas tiesības, saskaņā ar Iepirkuma nolikuma 9.3.punktu tika noteikta saimnieciski izdevīgākais piedāvājums.</w:t>
      </w:r>
    </w:p>
    <w:p w:rsidR="008902FC" w:rsidRPr="00A70AA6" w:rsidRDefault="008902FC" w:rsidP="008902FC">
      <w:pPr>
        <w:ind w:firstLine="720"/>
        <w:jc w:val="both"/>
      </w:pPr>
      <w:r w:rsidRPr="00A70AA6">
        <w:t xml:space="preserve"> No minētā secināms, ka līguma slēgšanas tiesības var tikt piešķirtas pretendentam, kura iesniegtais piedāvājums atbilst visām iepirkuma dokumentācijā un normatīvajos aktos noteiktajām prasībām, un kura piedāvājums tiek atzīts par saimnieciski visizdevīgāko.</w:t>
      </w:r>
    </w:p>
    <w:p w:rsidR="008902FC" w:rsidRPr="00A70AA6" w:rsidRDefault="008902FC" w:rsidP="008902FC">
      <w:pPr>
        <w:ind w:firstLine="720"/>
        <w:jc w:val="both"/>
      </w:pPr>
      <w:r w:rsidRPr="00A70AA6">
        <w:t>Izvērtējot iesniegto pretendenta piedāvājumu iepirkuma komisija secināja, ka SIA „</w:t>
      </w:r>
      <w:r>
        <w:t>Arčers</w:t>
      </w:r>
      <w:r w:rsidRPr="00A70AA6">
        <w:t>” iesniegtais piedāvājums atbilst Iepirkuma nolikumā noteiktajām prasībām. Aizpildot individuālās izvērtēšanas lapas, pretendenta iesniegtajam piedāvājumam piešķirs maksimālais punktu skaits – 100 saimnieciskā izdevīguma punkti.</w:t>
      </w:r>
    </w:p>
    <w:p w:rsidR="008902FC" w:rsidRPr="00A70AA6" w:rsidRDefault="008902FC" w:rsidP="008902FC">
      <w:pPr>
        <w:ind w:firstLine="720"/>
        <w:jc w:val="both"/>
      </w:pPr>
      <w:r w:rsidRPr="00A70AA6">
        <w:t xml:space="preserve">Līdz ar to līguma slēgšanas tiesības </w:t>
      </w:r>
      <w:r>
        <w:t xml:space="preserve">ir </w:t>
      </w:r>
      <w:r w:rsidRPr="00A70AA6">
        <w:t>piešķiramas SIA „</w:t>
      </w:r>
      <w:r>
        <w:t>Arčers</w:t>
      </w:r>
      <w:r w:rsidRPr="00A70AA6">
        <w:t xml:space="preserve">”. </w:t>
      </w:r>
    </w:p>
    <w:p w:rsidR="008902FC" w:rsidRPr="00A70AA6" w:rsidRDefault="008902FC" w:rsidP="008902FC">
      <w:pPr>
        <w:ind w:firstLine="720"/>
        <w:jc w:val="both"/>
      </w:pPr>
      <w:r w:rsidRPr="00A70AA6">
        <w:t>Pasūtītājs veicis Publisko iepirkumu likuma 8.</w:t>
      </w:r>
      <w:r w:rsidRPr="00A70AA6">
        <w:rPr>
          <w:vertAlign w:val="superscript"/>
        </w:rPr>
        <w:t xml:space="preserve">2 </w:t>
      </w:r>
      <w:r w:rsidRPr="00A70AA6">
        <w:t>panta septītajā daļā noteikto pārbaudi, lai pārliecinātos, ka uz pretendentu, kam piešķiramas līguma slēgšanas tiesības, nav attiecināmi Publisko iepirkumu likuma 8.</w:t>
      </w:r>
      <w:r w:rsidRPr="00A70AA6">
        <w:rPr>
          <w:vertAlign w:val="superscript"/>
        </w:rPr>
        <w:t>2</w:t>
      </w:r>
      <w:r w:rsidRPr="00A70AA6">
        <w:t xml:space="preserve"> panta piektajā daļā noteiktie izslēgšanas nosacījumi.</w:t>
      </w:r>
    </w:p>
    <w:p w:rsidR="008902FC" w:rsidRPr="00A70AA6" w:rsidRDefault="008902FC" w:rsidP="008902FC">
      <w:pPr>
        <w:rPr>
          <w:b/>
          <w:u w:val="single"/>
        </w:rPr>
      </w:pPr>
    </w:p>
    <w:p w:rsidR="008902FC" w:rsidRPr="00A70AA6" w:rsidRDefault="008902FC" w:rsidP="008902FC">
      <w:pPr>
        <w:rPr>
          <w:b/>
          <w:u w:val="single"/>
        </w:rPr>
      </w:pPr>
      <w:r w:rsidRPr="00A70AA6">
        <w:rPr>
          <w:b/>
          <w:u w:val="single"/>
        </w:rPr>
        <w:t>Pretendents, kuram piešķirtas līguma slēgšanas tiesības, līgumcena, par kuru tiks slēgts līgums:</w:t>
      </w:r>
    </w:p>
    <w:p w:rsidR="008902FC" w:rsidRPr="00A70AA6" w:rsidRDefault="008902FC" w:rsidP="008902FC">
      <w:pPr>
        <w:jc w:val="both"/>
      </w:pPr>
      <w:r w:rsidRPr="00A70AA6">
        <w:t>SIA „</w:t>
      </w:r>
      <w:r>
        <w:t>Arčers</w:t>
      </w:r>
      <w:r w:rsidRPr="00A70AA6">
        <w:t xml:space="preserve">”, vienotais reģistrācijas Nr. </w:t>
      </w:r>
      <w:r w:rsidRPr="00A70AA6">
        <w:rPr>
          <w:shd w:val="clear" w:color="auto" w:fill="FFFFFF"/>
        </w:rPr>
        <w:t>40003</w:t>
      </w:r>
      <w:r>
        <w:rPr>
          <w:shd w:val="clear" w:color="auto" w:fill="FFFFFF"/>
        </w:rPr>
        <w:t>051954</w:t>
      </w:r>
      <w:r w:rsidRPr="00A70AA6">
        <w:t xml:space="preserve">, līgumcena – EUR </w:t>
      </w:r>
      <w:r>
        <w:t>54 667,52</w:t>
      </w:r>
      <w:r w:rsidRPr="00A70AA6">
        <w:t>.</w:t>
      </w:r>
    </w:p>
    <w:p w:rsidR="00740462" w:rsidRPr="00BF14BD" w:rsidRDefault="00740462" w:rsidP="00AC324E">
      <w:pPr>
        <w:jc w:val="both"/>
        <w:outlineLvl w:val="0"/>
      </w:pPr>
    </w:p>
    <w:p w:rsidR="00125A26" w:rsidRDefault="00125A26" w:rsidP="00AD0A54"/>
    <w:p w:rsidR="00706A89" w:rsidRPr="00BF14BD" w:rsidRDefault="008902FC" w:rsidP="00AD0A54">
      <w:r>
        <w:t>Iepirkuma komisijas priekšsēdētāja</w:t>
      </w:r>
      <w:r>
        <w:tab/>
      </w:r>
      <w:r>
        <w:tab/>
      </w:r>
      <w:r>
        <w:tab/>
      </w:r>
      <w:r>
        <w:tab/>
      </w:r>
      <w:r w:rsidR="0021375B">
        <w:tab/>
      </w:r>
      <w:r w:rsidR="0021375B">
        <w:tab/>
      </w:r>
      <w:bookmarkStart w:id="0" w:name="_GoBack"/>
      <w:bookmarkEnd w:id="0"/>
      <w:r w:rsidR="0021375B">
        <w:t xml:space="preserve">Nona </w:t>
      </w:r>
      <w:proofErr w:type="spellStart"/>
      <w:r w:rsidR="0021375B">
        <w:t>Jakušova</w:t>
      </w:r>
      <w:proofErr w:type="spellEnd"/>
    </w:p>
    <w:sectPr w:rsidR="00706A89" w:rsidRPr="00BF14BD" w:rsidSect="00737BD9">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997" w:rsidRDefault="00400997">
      <w:r>
        <w:separator/>
      </w:r>
    </w:p>
  </w:endnote>
  <w:endnote w:type="continuationSeparator" w:id="0">
    <w:p w:rsidR="00400997" w:rsidRDefault="0040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Teutonic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B6" w:rsidRDefault="00CA5A49" w:rsidP="00CD19D6">
    <w:pPr>
      <w:pStyle w:val="Footer"/>
      <w:framePr w:wrap="around" w:vAnchor="text" w:hAnchor="margin" w:xAlign="right" w:y="1"/>
      <w:rPr>
        <w:rStyle w:val="PageNumber"/>
      </w:rPr>
    </w:pPr>
    <w:r>
      <w:rPr>
        <w:rStyle w:val="PageNumber"/>
      </w:rPr>
      <w:fldChar w:fldCharType="begin"/>
    </w:r>
    <w:r w:rsidR="006F15B6">
      <w:rPr>
        <w:rStyle w:val="PageNumber"/>
      </w:rPr>
      <w:instrText xml:space="preserve">PAGE  </w:instrText>
    </w:r>
    <w:r>
      <w:rPr>
        <w:rStyle w:val="PageNumber"/>
      </w:rPr>
      <w:fldChar w:fldCharType="end"/>
    </w:r>
  </w:p>
  <w:p w:rsidR="006F15B6" w:rsidRDefault="006F15B6" w:rsidP="008D6B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B6" w:rsidRDefault="00CA5A49" w:rsidP="00CD19D6">
    <w:pPr>
      <w:pStyle w:val="Footer"/>
      <w:framePr w:wrap="around" w:vAnchor="text" w:hAnchor="margin" w:xAlign="right" w:y="1"/>
      <w:rPr>
        <w:rStyle w:val="PageNumber"/>
      </w:rPr>
    </w:pPr>
    <w:r>
      <w:rPr>
        <w:rStyle w:val="PageNumber"/>
      </w:rPr>
      <w:fldChar w:fldCharType="begin"/>
    </w:r>
    <w:r w:rsidR="006F15B6">
      <w:rPr>
        <w:rStyle w:val="PageNumber"/>
      </w:rPr>
      <w:instrText xml:space="preserve">PAGE  </w:instrText>
    </w:r>
    <w:r>
      <w:rPr>
        <w:rStyle w:val="PageNumber"/>
      </w:rPr>
      <w:fldChar w:fldCharType="separate"/>
    </w:r>
    <w:r w:rsidR="0021375B">
      <w:rPr>
        <w:rStyle w:val="PageNumber"/>
        <w:noProof/>
      </w:rPr>
      <w:t>2</w:t>
    </w:r>
    <w:r>
      <w:rPr>
        <w:rStyle w:val="PageNumber"/>
      </w:rPr>
      <w:fldChar w:fldCharType="end"/>
    </w:r>
  </w:p>
  <w:p w:rsidR="006F15B6" w:rsidRDefault="006F15B6" w:rsidP="008D6B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997" w:rsidRDefault="00400997">
      <w:r>
        <w:separator/>
      </w:r>
    </w:p>
  </w:footnote>
  <w:footnote w:type="continuationSeparator" w:id="0">
    <w:p w:rsidR="00400997" w:rsidRDefault="00400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CCA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165F2"/>
    <w:multiLevelType w:val="hybridMultilevel"/>
    <w:tmpl w:val="FFB801D4"/>
    <w:lvl w:ilvl="0" w:tplc="647684EA">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9E3705A"/>
    <w:multiLevelType w:val="hybridMultilevel"/>
    <w:tmpl w:val="7B62C8F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C455CB0"/>
    <w:multiLevelType w:val="hybridMultilevel"/>
    <w:tmpl w:val="33A6D4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01C7E13"/>
    <w:multiLevelType w:val="hybridMultilevel"/>
    <w:tmpl w:val="B2062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6D90425"/>
    <w:multiLevelType w:val="hybridMultilevel"/>
    <w:tmpl w:val="152CB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A523BEC"/>
    <w:multiLevelType w:val="hybridMultilevel"/>
    <w:tmpl w:val="9B14CBE0"/>
    <w:lvl w:ilvl="0" w:tplc="023278B0">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2ECC7283"/>
    <w:multiLevelType w:val="hybridMultilevel"/>
    <w:tmpl w:val="61BA9C3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F49512B"/>
    <w:multiLevelType w:val="hybridMultilevel"/>
    <w:tmpl w:val="474A5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F7A6D5A"/>
    <w:multiLevelType w:val="hybridMultilevel"/>
    <w:tmpl w:val="9A6A603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5B464F5F"/>
    <w:multiLevelType w:val="hybridMultilevel"/>
    <w:tmpl w:val="7C16D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9A50771"/>
    <w:multiLevelType w:val="hybridMultilevel"/>
    <w:tmpl w:val="F2BA8372"/>
    <w:lvl w:ilvl="0" w:tplc="32D46D7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
  </w:num>
  <w:num w:numId="5">
    <w:abstractNumId w:val="7"/>
  </w:num>
  <w:num w:numId="6">
    <w:abstractNumId w:val="6"/>
  </w:num>
  <w:num w:numId="7">
    <w:abstractNumId w:val="4"/>
  </w:num>
  <w:num w:numId="8">
    <w:abstractNumId w:val="0"/>
  </w:num>
  <w:num w:numId="9">
    <w:abstractNumId w:val="5"/>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88"/>
    <w:rsid w:val="000069F3"/>
    <w:rsid w:val="00011B1F"/>
    <w:rsid w:val="00042C5A"/>
    <w:rsid w:val="0004359D"/>
    <w:rsid w:val="000637B4"/>
    <w:rsid w:val="00070636"/>
    <w:rsid w:val="00083A35"/>
    <w:rsid w:val="000A5E28"/>
    <w:rsid w:val="000D65C8"/>
    <w:rsid w:val="000E6A21"/>
    <w:rsid w:val="00125222"/>
    <w:rsid w:val="00125A26"/>
    <w:rsid w:val="00144DD9"/>
    <w:rsid w:val="00165AA8"/>
    <w:rsid w:val="001A43B2"/>
    <w:rsid w:val="001C5DCC"/>
    <w:rsid w:val="001E3B00"/>
    <w:rsid w:val="001F7E4D"/>
    <w:rsid w:val="0020056D"/>
    <w:rsid w:val="00203F47"/>
    <w:rsid w:val="0020573F"/>
    <w:rsid w:val="00211989"/>
    <w:rsid w:val="0021375B"/>
    <w:rsid w:val="00217BB4"/>
    <w:rsid w:val="00232221"/>
    <w:rsid w:val="0024561E"/>
    <w:rsid w:val="00245CE1"/>
    <w:rsid w:val="002A6707"/>
    <w:rsid w:val="002B67C0"/>
    <w:rsid w:val="002C5463"/>
    <w:rsid w:val="002E0489"/>
    <w:rsid w:val="002E0FC8"/>
    <w:rsid w:val="002E59B1"/>
    <w:rsid w:val="002F2711"/>
    <w:rsid w:val="002F38A3"/>
    <w:rsid w:val="002F5B3A"/>
    <w:rsid w:val="003113D7"/>
    <w:rsid w:val="00312D3D"/>
    <w:rsid w:val="00322AF9"/>
    <w:rsid w:val="00330552"/>
    <w:rsid w:val="003459C4"/>
    <w:rsid w:val="00347FFC"/>
    <w:rsid w:val="00351135"/>
    <w:rsid w:val="003604BE"/>
    <w:rsid w:val="00366203"/>
    <w:rsid w:val="00370E0B"/>
    <w:rsid w:val="00392927"/>
    <w:rsid w:val="00394A69"/>
    <w:rsid w:val="003A7232"/>
    <w:rsid w:val="003B2245"/>
    <w:rsid w:val="003C56C3"/>
    <w:rsid w:val="003E1260"/>
    <w:rsid w:val="003F012F"/>
    <w:rsid w:val="00400997"/>
    <w:rsid w:val="00411561"/>
    <w:rsid w:val="00412C88"/>
    <w:rsid w:val="00415D40"/>
    <w:rsid w:val="004206DE"/>
    <w:rsid w:val="00441593"/>
    <w:rsid w:val="00442279"/>
    <w:rsid w:val="00452315"/>
    <w:rsid w:val="00453EB8"/>
    <w:rsid w:val="00464457"/>
    <w:rsid w:val="004676FD"/>
    <w:rsid w:val="0048573D"/>
    <w:rsid w:val="00486E15"/>
    <w:rsid w:val="00491AAF"/>
    <w:rsid w:val="004944DF"/>
    <w:rsid w:val="004B7218"/>
    <w:rsid w:val="004C5D05"/>
    <w:rsid w:val="004C64BE"/>
    <w:rsid w:val="004E4096"/>
    <w:rsid w:val="004E4E8E"/>
    <w:rsid w:val="004E767C"/>
    <w:rsid w:val="004F3C71"/>
    <w:rsid w:val="00505A5C"/>
    <w:rsid w:val="0053376C"/>
    <w:rsid w:val="00555752"/>
    <w:rsid w:val="00563216"/>
    <w:rsid w:val="00574401"/>
    <w:rsid w:val="00595E70"/>
    <w:rsid w:val="005A31D9"/>
    <w:rsid w:val="005B0BC4"/>
    <w:rsid w:val="005C5170"/>
    <w:rsid w:val="005C541A"/>
    <w:rsid w:val="005C6C5C"/>
    <w:rsid w:val="005C7D46"/>
    <w:rsid w:val="005F6E03"/>
    <w:rsid w:val="00601378"/>
    <w:rsid w:val="006019D2"/>
    <w:rsid w:val="00603DF4"/>
    <w:rsid w:val="0060429B"/>
    <w:rsid w:val="00643849"/>
    <w:rsid w:val="00664A9D"/>
    <w:rsid w:val="006972D6"/>
    <w:rsid w:val="006A0AE0"/>
    <w:rsid w:val="006B75B8"/>
    <w:rsid w:val="006C5904"/>
    <w:rsid w:val="006D7339"/>
    <w:rsid w:val="006E5DD9"/>
    <w:rsid w:val="006F09CE"/>
    <w:rsid w:val="006F15B6"/>
    <w:rsid w:val="007068E2"/>
    <w:rsid w:val="00706A89"/>
    <w:rsid w:val="0071055C"/>
    <w:rsid w:val="007173C3"/>
    <w:rsid w:val="00722C96"/>
    <w:rsid w:val="0073717D"/>
    <w:rsid w:val="00737BD9"/>
    <w:rsid w:val="00740462"/>
    <w:rsid w:val="00744F02"/>
    <w:rsid w:val="007467E8"/>
    <w:rsid w:val="00747F53"/>
    <w:rsid w:val="007518A7"/>
    <w:rsid w:val="007537A7"/>
    <w:rsid w:val="00766802"/>
    <w:rsid w:val="0077357D"/>
    <w:rsid w:val="00776C86"/>
    <w:rsid w:val="007B663E"/>
    <w:rsid w:val="007C432E"/>
    <w:rsid w:val="007E2B33"/>
    <w:rsid w:val="007E370D"/>
    <w:rsid w:val="0080340F"/>
    <w:rsid w:val="00822D9C"/>
    <w:rsid w:val="008476EC"/>
    <w:rsid w:val="008651F1"/>
    <w:rsid w:val="008805EB"/>
    <w:rsid w:val="00880A64"/>
    <w:rsid w:val="0088120D"/>
    <w:rsid w:val="00881C93"/>
    <w:rsid w:val="00886754"/>
    <w:rsid w:val="00887E7F"/>
    <w:rsid w:val="008902FC"/>
    <w:rsid w:val="008925CF"/>
    <w:rsid w:val="008A2401"/>
    <w:rsid w:val="008A6F6D"/>
    <w:rsid w:val="008C4B4F"/>
    <w:rsid w:val="008C5C1A"/>
    <w:rsid w:val="008D6BB9"/>
    <w:rsid w:val="008E00C4"/>
    <w:rsid w:val="0091611B"/>
    <w:rsid w:val="00937F0F"/>
    <w:rsid w:val="00942110"/>
    <w:rsid w:val="00952990"/>
    <w:rsid w:val="0095302E"/>
    <w:rsid w:val="00983548"/>
    <w:rsid w:val="009969A7"/>
    <w:rsid w:val="009A47ED"/>
    <w:rsid w:val="009A60FB"/>
    <w:rsid w:val="009B09B1"/>
    <w:rsid w:val="009B4EF5"/>
    <w:rsid w:val="009B699D"/>
    <w:rsid w:val="009C29F4"/>
    <w:rsid w:val="009D5AA0"/>
    <w:rsid w:val="00A06434"/>
    <w:rsid w:val="00A06935"/>
    <w:rsid w:val="00A06CB8"/>
    <w:rsid w:val="00A1295B"/>
    <w:rsid w:val="00A36BEF"/>
    <w:rsid w:val="00A37ACA"/>
    <w:rsid w:val="00A406E0"/>
    <w:rsid w:val="00A54064"/>
    <w:rsid w:val="00A6701C"/>
    <w:rsid w:val="00A75591"/>
    <w:rsid w:val="00A75844"/>
    <w:rsid w:val="00A824FF"/>
    <w:rsid w:val="00A840A2"/>
    <w:rsid w:val="00A850BC"/>
    <w:rsid w:val="00A86F53"/>
    <w:rsid w:val="00A92DB0"/>
    <w:rsid w:val="00A94B41"/>
    <w:rsid w:val="00A94FEF"/>
    <w:rsid w:val="00AC2130"/>
    <w:rsid w:val="00AC2CB9"/>
    <w:rsid w:val="00AC324E"/>
    <w:rsid w:val="00AD0A54"/>
    <w:rsid w:val="00AE09FA"/>
    <w:rsid w:val="00AE3055"/>
    <w:rsid w:val="00AE42B6"/>
    <w:rsid w:val="00AE4674"/>
    <w:rsid w:val="00AF51AB"/>
    <w:rsid w:val="00B177C7"/>
    <w:rsid w:val="00B31DAA"/>
    <w:rsid w:val="00B40C67"/>
    <w:rsid w:val="00B5638D"/>
    <w:rsid w:val="00B5755B"/>
    <w:rsid w:val="00B60295"/>
    <w:rsid w:val="00B61C2B"/>
    <w:rsid w:val="00B75F2A"/>
    <w:rsid w:val="00BA0A67"/>
    <w:rsid w:val="00BA3346"/>
    <w:rsid w:val="00BA7D67"/>
    <w:rsid w:val="00BB45AF"/>
    <w:rsid w:val="00BB7419"/>
    <w:rsid w:val="00BB798E"/>
    <w:rsid w:val="00BD2CD3"/>
    <w:rsid w:val="00BE5E87"/>
    <w:rsid w:val="00BE6FBD"/>
    <w:rsid w:val="00BF14BD"/>
    <w:rsid w:val="00BF4083"/>
    <w:rsid w:val="00BF7EE0"/>
    <w:rsid w:val="00C57224"/>
    <w:rsid w:val="00C62496"/>
    <w:rsid w:val="00C64AAF"/>
    <w:rsid w:val="00C758D2"/>
    <w:rsid w:val="00C862CD"/>
    <w:rsid w:val="00C87700"/>
    <w:rsid w:val="00C90022"/>
    <w:rsid w:val="00C93494"/>
    <w:rsid w:val="00C94865"/>
    <w:rsid w:val="00C979C4"/>
    <w:rsid w:val="00CA5A49"/>
    <w:rsid w:val="00CC08F1"/>
    <w:rsid w:val="00CC4362"/>
    <w:rsid w:val="00CD19D6"/>
    <w:rsid w:val="00D048E1"/>
    <w:rsid w:val="00D141F5"/>
    <w:rsid w:val="00D32086"/>
    <w:rsid w:val="00D47803"/>
    <w:rsid w:val="00D508A8"/>
    <w:rsid w:val="00D50E66"/>
    <w:rsid w:val="00D76B64"/>
    <w:rsid w:val="00D80333"/>
    <w:rsid w:val="00D939B1"/>
    <w:rsid w:val="00D93D49"/>
    <w:rsid w:val="00D97228"/>
    <w:rsid w:val="00DA0D0E"/>
    <w:rsid w:val="00DB671F"/>
    <w:rsid w:val="00E021DB"/>
    <w:rsid w:val="00E10704"/>
    <w:rsid w:val="00E1296F"/>
    <w:rsid w:val="00E22D1D"/>
    <w:rsid w:val="00E314DC"/>
    <w:rsid w:val="00E34B58"/>
    <w:rsid w:val="00E44492"/>
    <w:rsid w:val="00E4659E"/>
    <w:rsid w:val="00E6053D"/>
    <w:rsid w:val="00E608DB"/>
    <w:rsid w:val="00E65B3A"/>
    <w:rsid w:val="00E86E40"/>
    <w:rsid w:val="00E870E4"/>
    <w:rsid w:val="00E94EAD"/>
    <w:rsid w:val="00EA5CDE"/>
    <w:rsid w:val="00EB2F00"/>
    <w:rsid w:val="00EC0821"/>
    <w:rsid w:val="00EC619B"/>
    <w:rsid w:val="00ED1567"/>
    <w:rsid w:val="00ED442A"/>
    <w:rsid w:val="00ED50FD"/>
    <w:rsid w:val="00ED7660"/>
    <w:rsid w:val="00EE3554"/>
    <w:rsid w:val="00EF44F1"/>
    <w:rsid w:val="00F026F7"/>
    <w:rsid w:val="00F1304B"/>
    <w:rsid w:val="00F45901"/>
    <w:rsid w:val="00F470A6"/>
    <w:rsid w:val="00F72EB7"/>
    <w:rsid w:val="00F736D3"/>
    <w:rsid w:val="00F91B8C"/>
    <w:rsid w:val="00FC3CFE"/>
    <w:rsid w:val="00FC65D2"/>
    <w:rsid w:val="00FC77A0"/>
    <w:rsid w:val="00FD14C3"/>
    <w:rsid w:val="00FD43D2"/>
    <w:rsid w:val="00FD6027"/>
    <w:rsid w:val="00FE0CE2"/>
    <w:rsid w:val="00FF5E62"/>
    <w:rsid w:val="00FF661B"/>
    <w:rsid w:val="00FF70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5E70"/>
    <w:pPr>
      <w:shd w:val="clear" w:color="auto" w:fill="000080"/>
    </w:pPr>
    <w:rPr>
      <w:rFonts w:ascii="Tahoma" w:hAnsi="Tahoma" w:cs="Tahoma"/>
      <w:sz w:val="20"/>
      <w:szCs w:val="20"/>
    </w:rPr>
  </w:style>
  <w:style w:type="table" w:styleId="TableGrid">
    <w:name w:val="Table Grid"/>
    <w:basedOn w:val="TableNormal"/>
    <w:rsid w:val="00AF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6BB9"/>
    <w:pPr>
      <w:tabs>
        <w:tab w:val="center" w:pos="4153"/>
        <w:tab w:val="right" w:pos="8306"/>
      </w:tabs>
    </w:pPr>
  </w:style>
  <w:style w:type="character" w:styleId="PageNumber">
    <w:name w:val="page number"/>
    <w:basedOn w:val="DefaultParagraphFont"/>
    <w:rsid w:val="008D6BB9"/>
  </w:style>
  <w:style w:type="paragraph" w:styleId="BalloonText">
    <w:name w:val="Balloon Text"/>
    <w:basedOn w:val="Normal"/>
    <w:semiHidden/>
    <w:rsid w:val="00F1304B"/>
    <w:rPr>
      <w:rFonts w:ascii="Tahoma" w:hAnsi="Tahoma" w:cs="Tahoma"/>
      <w:sz w:val="16"/>
      <w:szCs w:val="16"/>
    </w:rPr>
  </w:style>
  <w:style w:type="paragraph" w:styleId="BodyText">
    <w:name w:val="Body Text"/>
    <w:basedOn w:val="Normal"/>
    <w:link w:val="BodyTextChar"/>
    <w:rsid w:val="005C7D46"/>
    <w:pPr>
      <w:jc w:val="both"/>
    </w:pPr>
    <w:rPr>
      <w:sz w:val="26"/>
      <w:szCs w:val="20"/>
    </w:rPr>
  </w:style>
  <w:style w:type="character" w:styleId="CommentReference">
    <w:name w:val="annotation reference"/>
    <w:semiHidden/>
    <w:rsid w:val="00AE42B6"/>
    <w:rPr>
      <w:sz w:val="16"/>
      <w:szCs w:val="16"/>
    </w:rPr>
  </w:style>
  <w:style w:type="paragraph" w:styleId="CommentText">
    <w:name w:val="annotation text"/>
    <w:basedOn w:val="Normal"/>
    <w:semiHidden/>
    <w:rsid w:val="00AE42B6"/>
    <w:rPr>
      <w:sz w:val="20"/>
      <w:szCs w:val="20"/>
    </w:rPr>
  </w:style>
  <w:style w:type="paragraph" w:styleId="CommentSubject">
    <w:name w:val="annotation subject"/>
    <w:basedOn w:val="CommentText"/>
    <w:next w:val="CommentText"/>
    <w:semiHidden/>
    <w:rsid w:val="00AE42B6"/>
    <w:rPr>
      <w:b/>
      <w:bCs/>
    </w:rPr>
  </w:style>
  <w:style w:type="character" w:customStyle="1" w:styleId="BodyTextChar">
    <w:name w:val="Body Text Char"/>
    <w:link w:val="BodyText"/>
    <w:rsid w:val="00217BB4"/>
    <w:rPr>
      <w:sz w:val="26"/>
    </w:rPr>
  </w:style>
  <w:style w:type="character" w:customStyle="1" w:styleId="apple-style-span">
    <w:name w:val="apple-style-span"/>
    <w:rsid w:val="0077357D"/>
  </w:style>
  <w:style w:type="paragraph" w:customStyle="1" w:styleId="ListParagraph1">
    <w:name w:val="List Paragraph1"/>
    <w:basedOn w:val="Normal"/>
    <w:uiPriority w:val="34"/>
    <w:qFormat/>
    <w:rsid w:val="0077357D"/>
    <w:pPr>
      <w:spacing w:after="200" w:line="276" w:lineRule="auto"/>
      <w:ind w:left="720"/>
      <w:contextualSpacing/>
    </w:pPr>
    <w:rPr>
      <w:rFonts w:ascii="Calibri" w:eastAsia="Calibri" w:hAnsi="Calibri"/>
      <w:sz w:val="22"/>
      <w:szCs w:val="22"/>
      <w:lang w:eastAsia="en-US"/>
    </w:rPr>
  </w:style>
  <w:style w:type="character" w:customStyle="1" w:styleId="right">
    <w:name w:val="right"/>
    <w:rsid w:val="0077357D"/>
  </w:style>
  <w:style w:type="character" w:customStyle="1" w:styleId="iubsearch-contractname">
    <w:name w:val="iubsearch-contractname"/>
    <w:rsid w:val="00BB7419"/>
  </w:style>
  <w:style w:type="paragraph" w:styleId="Header">
    <w:name w:val="header"/>
    <w:basedOn w:val="Normal"/>
    <w:link w:val="HeaderChar"/>
    <w:rsid w:val="00706A89"/>
    <w:pPr>
      <w:tabs>
        <w:tab w:val="center" w:pos="4320"/>
        <w:tab w:val="right" w:pos="8640"/>
      </w:tabs>
    </w:pPr>
    <w:rPr>
      <w:rFonts w:ascii="Teutonica" w:hAnsi="Teutonica"/>
      <w:szCs w:val="20"/>
      <w:lang w:eastAsia="en-US"/>
    </w:rPr>
  </w:style>
  <w:style w:type="character" w:customStyle="1" w:styleId="HeaderChar">
    <w:name w:val="Header Char"/>
    <w:link w:val="Header"/>
    <w:rsid w:val="00706A89"/>
    <w:rPr>
      <w:rFonts w:ascii="Teutonica" w:hAnsi="Teutonica"/>
      <w:sz w:val="24"/>
      <w:lang w:eastAsia="en-US"/>
    </w:rPr>
  </w:style>
  <w:style w:type="character" w:styleId="Emphasis">
    <w:name w:val="Emphasis"/>
    <w:uiPriority w:val="20"/>
    <w:qFormat/>
    <w:rsid w:val="00886754"/>
    <w:rPr>
      <w:i/>
      <w:iCs/>
    </w:rPr>
  </w:style>
  <w:style w:type="character" w:customStyle="1" w:styleId="apple-converted-space">
    <w:name w:val="apple-converted-space"/>
    <w:rsid w:val="00886754"/>
  </w:style>
  <w:style w:type="character" w:styleId="Hyperlink">
    <w:name w:val="Hyperlink"/>
    <w:rsid w:val="00886754"/>
    <w:rPr>
      <w:color w:val="0000FF"/>
      <w:u w:val="single"/>
    </w:rPr>
  </w:style>
  <w:style w:type="paragraph" w:customStyle="1" w:styleId="Default">
    <w:name w:val="Default"/>
    <w:rsid w:val="002B67C0"/>
    <w:pPr>
      <w:autoSpaceDE w:val="0"/>
      <w:autoSpaceDN w:val="0"/>
      <w:adjustRightInd w:val="0"/>
    </w:pPr>
    <w:rPr>
      <w:color w:val="000000"/>
      <w:sz w:val="24"/>
      <w:szCs w:val="24"/>
      <w:lang w:val="ru-RU" w:eastAsia="ru-RU"/>
    </w:rPr>
  </w:style>
  <w:style w:type="paragraph" w:customStyle="1" w:styleId="Rindkopa">
    <w:name w:val="Rindkopa"/>
    <w:basedOn w:val="Normal"/>
    <w:next w:val="Normal"/>
    <w:rsid w:val="00737BD9"/>
    <w:pPr>
      <w:ind w:left="851"/>
      <w:jc w:val="both"/>
    </w:pPr>
    <w:rPr>
      <w:rFonts w:ascii="Arial" w:hAnsi="Arial"/>
      <w:sz w:val="20"/>
    </w:rPr>
  </w:style>
  <w:style w:type="paragraph" w:styleId="ListParagraph">
    <w:name w:val="List Paragraph"/>
    <w:basedOn w:val="Normal"/>
    <w:uiPriority w:val="72"/>
    <w:rsid w:val="00245CE1"/>
    <w:pPr>
      <w:ind w:left="720"/>
      <w:contextualSpacing/>
    </w:pPr>
  </w:style>
  <w:style w:type="paragraph" w:customStyle="1" w:styleId="tv213">
    <w:name w:val="tv213"/>
    <w:basedOn w:val="Normal"/>
    <w:rsid w:val="00245CE1"/>
    <w:pPr>
      <w:spacing w:before="100" w:beforeAutospacing="1" w:after="100" w:afterAutospacing="1"/>
    </w:pPr>
    <w:rPr>
      <w:rFonts w:ascii="Times" w:eastAsia="Calibri" w:hAnsi="Times"/>
      <w:sz w:val="20"/>
      <w:szCs w:val="20"/>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2C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95E70"/>
    <w:pPr>
      <w:shd w:val="clear" w:color="auto" w:fill="000080"/>
    </w:pPr>
    <w:rPr>
      <w:rFonts w:ascii="Tahoma" w:hAnsi="Tahoma" w:cs="Tahoma"/>
      <w:sz w:val="20"/>
      <w:szCs w:val="20"/>
    </w:rPr>
  </w:style>
  <w:style w:type="table" w:styleId="TableGrid">
    <w:name w:val="Table Grid"/>
    <w:basedOn w:val="TableNormal"/>
    <w:rsid w:val="00AF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D6BB9"/>
    <w:pPr>
      <w:tabs>
        <w:tab w:val="center" w:pos="4153"/>
        <w:tab w:val="right" w:pos="8306"/>
      </w:tabs>
    </w:pPr>
  </w:style>
  <w:style w:type="character" w:styleId="PageNumber">
    <w:name w:val="page number"/>
    <w:basedOn w:val="DefaultParagraphFont"/>
    <w:rsid w:val="008D6BB9"/>
  </w:style>
  <w:style w:type="paragraph" w:styleId="BalloonText">
    <w:name w:val="Balloon Text"/>
    <w:basedOn w:val="Normal"/>
    <w:semiHidden/>
    <w:rsid w:val="00F1304B"/>
    <w:rPr>
      <w:rFonts w:ascii="Tahoma" w:hAnsi="Tahoma" w:cs="Tahoma"/>
      <w:sz w:val="16"/>
      <w:szCs w:val="16"/>
    </w:rPr>
  </w:style>
  <w:style w:type="paragraph" w:styleId="BodyText">
    <w:name w:val="Body Text"/>
    <w:basedOn w:val="Normal"/>
    <w:link w:val="BodyTextChar"/>
    <w:rsid w:val="005C7D46"/>
    <w:pPr>
      <w:jc w:val="both"/>
    </w:pPr>
    <w:rPr>
      <w:sz w:val="26"/>
      <w:szCs w:val="20"/>
    </w:rPr>
  </w:style>
  <w:style w:type="character" w:styleId="CommentReference">
    <w:name w:val="annotation reference"/>
    <w:semiHidden/>
    <w:rsid w:val="00AE42B6"/>
    <w:rPr>
      <w:sz w:val="16"/>
      <w:szCs w:val="16"/>
    </w:rPr>
  </w:style>
  <w:style w:type="paragraph" w:styleId="CommentText">
    <w:name w:val="annotation text"/>
    <w:basedOn w:val="Normal"/>
    <w:semiHidden/>
    <w:rsid w:val="00AE42B6"/>
    <w:rPr>
      <w:sz w:val="20"/>
      <w:szCs w:val="20"/>
    </w:rPr>
  </w:style>
  <w:style w:type="paragraph" w:styleId="CommentSubject">
    <w:name w:val="annotation subject"/>
    <w:basedOn w:val="CommentText"/>
    <w:next w:val="CommentText"/>
    <w:semiHidden/>
    <w:rsid w:val="00AE42B6"/>
    <w:rPr>
      <w:b/>
      <w:bCs/>
    </w:rPr>
  </w:style>
  <w:style w:type="character" w:customStyle="1" w:styleId="BodyTextChar">
    <w:name w:val="Body Text Char"/>
    <w:link w:val="BodyText"/>
    <w:rsid w:val="00217BB4"/>
    <w:rPr>
      <w:sz w:val="26"/>
    </w:rPr>
  </w:style>
  <w:style w:type="character" w:customStyle="1" w:styleId="apple-style-span">
    <w:name w:val="apple-style-span"/>
    <w:rsid w:val="0077357D"/>
  </w:style>
  <w:style w:type="paragraph" w:customStyle="1" w:styleId="ListParagraph1">
    <w:name w:val="List Paragraph1"/>
    <w:basedOn w:val="Normal"/>
    <w:uiPriority w:val="34"/>
    <w:qFormat/>
    <w:rsid w:val="0077357D"/>
    <w:pPr>
      <w:spacing w:after="200" w:line="276" w:lineRule="auto"/>
      <w:ind w:left="720"/>
      <w:contextualSpacing/>
    </w:pPr>
    <w:rPr>
      <w:rFonts w:ascii="Calibri" w:eastAsia="Calibri" w:hAnsi="Calibri"/>
      <w:sz w:val="22"/>
      <w:szCs w:val="22"/>
      <w:lang w:eastAsia="en-US"/>
    </w:rPr>
  </w:style>
  <w:style w:type="character" w:customStyle="1" w:styleId="right">
    <w:name w:val="right"/>
    <w:rsid w:val="0077357D"/>
  </w:style>
  <w:style w:type="character" w:customStyle="1" w:styleId="iubsearch-contractname">
    <w:name w:val="iubsearch-contractname"/>
    <w:rsid w:val="00BB7419"/>
  </w:style>
  <w:style w:type="paragraph" w:styleId="Header">
    <w:name w:val="header"/>
    <w:basedOn w:val="Normal"/>
    <w:link w:val="HeaderChar"/>
    <w:rsid w:val="00706A89"/>
    <w:pPr>
      <w:tabs>
        <w:tab w:val="center" w:pos="4320"/>
        <w:tab w:val="right" w:pos="8640"/>
      </w:tabs>
    </w:pPr>
    <w:rPr>
      <w:rFonts w:ascii="Teutonica" w:hAnsi="Teutonica"/>
      <w:szCs w:val="20"/>
      <w:lang w:eastAsia="en-US"/>
    </w:rPr>
  </w:style>
  <w:style w:type="character" w:customStyle="1" w:styleId="HeaderChar">
    <w:name w:val="Header Char"/>
    <w:link w:val="Header"/>
    <w:rsid w:val="00706A89"/>
    <w:rPr>
      <w:rFonts w:ascii="Teutonica" w:hAnsi="Teutonica"/>
      <w:sz w:val="24"/>
      <w:lang w:eastAsia="en-US"/>
    </w:rPr>
  </w:style>
  <w:style w:type="character" w:styleId="Emphasis">
    <w:name w:val="Emphasis"/>
    <w:uiPriority w:val="20"/>
    <w:qFormat/>
    <w:rsid w:val="00886754"/>
    <w:rPr>
      <w:i/>
      <w:iCs/>
    </w:rPr>
  </w:style>
  <w:style w:type="character" w:customStyle="1" w:styleId="apple-converted-space">
    <w:name w:val="apple-converted-space"/>
    <w:rsid w:val="00886754"/>
  </w:style>
  <w:style w:type="character" w:styleId="Hyperlink">
    <w:name w:val="Hyperlink"/>
    <w:rsid w:val="00886754"/>
    <w:rPr>
      <w:color w:val="0000FF"/>
      <w:u w:val="single"/>
    </w:rPr>
  </w:style>
  <w:style w:type="paragraph" w:customStyle="1" w:styleId="Default">
    <w:name w:val="Default"/>
    <w:rsid w:val="002B67C0"/>
    <w:pPr>
      <w:autoSpaceDE w:val="0"/>
      <w:autoSpaceDN w:val="0"/>
      <w:adjustRightInd w:val="0"/>
    </w:pPr>
    <w:rPr>
      <w:color w:val="000000"/>
      <w:sz w:val="24"/>
      <w:szCs w:val="24"/>
      <w:lang w:val="ru-RU" w:eastAsia="ru-RU"/>
    </w:rPr>
  </w:style>
  <w:style w:type="paragraph" w:customStyle="1" w:styleId="Rindkopa">
    <w:name w:val="Rindkopa"/>
    <w:basedOn w:val="Normal"/>
    <w:next w:val="Normal"/>
    <w:rsid w:val="00737BD9"/>
    <w:pPr>
      <w:ind w:left="851"/>
      <w:jc w:val="both"/>
    </w:pPr>
    <w:rPr>
      <w:rFonts w:ascii="Arial" w:hAnsi="Arial"/>
      <w:sz w:val="20"/>
    </w:rPr>
  </w:style>
  <w:style w:type="paragraph" w:styleId="ListParagraph">
    <w:name w:val="List Paragraph"/>
    <w:basedOn w:val="Normal"/>
    <w:uiPriority w:val="72"/>
    <w:rsid w:val="00245CE1"/>
    <w:pPr>
      <w:ind w:left="720"/>
      <w:contextualSpacing/>
    </w:pPr>
  </w:style>
  <w:style w:type="paragraph" w:customStyle="1" w:styleId="tv213">
    <w:name w:val="tv213"/>
    <w:basedOn w:val="Normal"/>
    <w:rsid w:val="00245CE1"/>
    <w:pPr>
      <w:spacing w:before="100" w:beforeAutospacing="1" w:after="100" w:afterAutospacing="1"/>
    </w:pPr>
    <w:rPr>
      <w:rFonts w:ascii="Times" w:eastAsia="Calibri" w:hAnsi="Times"/>
      <w:sz w:val="20"/>
      <w:szCs w:val="20"/>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2962">
      <w:bodyDiv w:val="1"/>
      <w:marLeft w:val="0"/>
      <w:marRight w:val="0"/>
      <w:marTop w:val="0"/>
      <w:marBottom w:val="0"/>
      <w:divBdr>
        <w:top w:val="none" w:sz="0" w:space="0" w:color="auto"/>
        <w:left w:val="none" w:sz="0" w:space="0" w:color="auto"/>
        <w:bottom w:val="none" w:sz="0" w:space="0" w:color="auto"/>
        <w:right w:val="none" w:sz="0" w:space="0" w:color="auto"/>
      </w:divBdr>
    </w:div>
    <w:div w:id="1066220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2BA2-2795-452A-AE63-1D7AD724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2544</Words>
  <Characters>1451</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Iepirkuma kura vērtība pārsniedz Ls 1000, bet nepārsniedz Ls 10000, ident</vt:lpstr>
    </vt:vector>
  </TitlesOfParts>
  <Company>Rigas Dome</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Uģis</dc:creator>
  <cp:lastModifiedBy>Uģis_Cvir</cp:lastModifiedBy>
  <cp:revision>2</cp:revision>
  <cp:lastPrinted>2013-07-02T11:58:00Z</cp:lastPrinted>
  <dcterms:created xsi:type="dcterms:W3CDTF">2014-07-09T12:34:00Z</dcterms:created>
  <dcterms:modified xsi:type="dcterms:W3CDTF">2014-07-09T12:34:00Z</dcterms:modified>
</cp:coreProperties>
</file>