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38" w:rsidRPr="00424438" w:rsidRDefault="00424438" w:rsidP="00424438">
      <w:pPr>
        <w:spacing w:after="0" w:line="240" w:lineRule="auto"/>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 xml:space="preserve">Jelgavā, </w:t>
      </w:r>
    </w:p>
    <w:tbl>
      <w:tblPr>
        <w:tblW w:w="0" w:type="auto"/>
        <w:tblLook w:val="04A0" w:firstRow="1" w:lastRow="0" w:firstColumn="1" w:lastColumn="0" w:noHBand="0" w:noVBand="1"/>
      </w:tblPr>
      <w:tblGrid>
        <w:gridCol w:w="392"/>
        <w:gridCol w:w="1427"/>
        <w:gridCol w:w="425"/>
        <w:gridCol w:w="1134"/>
      </w:tblGrid>
      <w:tr w:rsidR="00424438" w:rsidRPr="00424438" w:rsidTr="009958C1">
        <w:tc>
          <w:tcPr>
            <w:tcW w:w="392" w:type="dxa"/>
            <w:shd w:val="clear" w:color="auto" w:fill="auto"/>
          </w:tcPr>
          <w:p w:rsidR="00424438" w:rsidRPr="00424438" w:rsidRDefault="00424438" w:rsidP="00424438">
            <w:pPr>
              <w:spacing w:after="0" w:line="240" w:lineRule="auto"/>
              <w:rPr>
                <w:rFonts w:ascii="Cambria" w:eastAsia="Cambria" w:hAnsi="Cambria" w:cs="Times New Roman"/>
                <w:b/>
                <w:sz w:val="24"/>
                <w:szCs w:val="24"/>
                <w:lang w:eastAsia="lv-LV"/>
              </w:rPr>
            </w:pPr>
          </w:p>
        </w:tc>
        <w:tc>
          <w:tcPr>
            <w:tcW w:w="1134" w:type="dxa"/>
            <w:tcBorders>
              <w:bottom w:val="single" w:sz="4" w:space="0" w:color="auto"/>
            </w:tcBorders>
            <w:shd w:val="clear" w:color="auto" w:fill="auto"/>
          </w:tcPr>
          <w:p w:rsidR="00424438" w:rsidRPr="00424438" w:rsidRDefault="000956C7" w:rsidP="00424438">
            <w:pPr>
              <w:spacing w:after="0" w:line="240" w:lineRule="auto"/>
              <w:rPr>
                <w:rFonts w:ascii="Cambria" w:eastAsia="Cambria" w:hAnsi="Cambria" w:cs="Times New Roman"/>
                <w:sz w:val="24"/>
                <w:szCs w:val="24"/>
                <w:lang w:eastAsia="lv-LV"/>
              </w:rPr>
            </w:pPr>
            <w:r>
              <w:rPr>
                <w:rFonts w:ascii="Cambria" w:eastAsia="Cambria" w:hAnsi="Cambria" w:cs="Times New Roman"/>
                <w:sz w:val="24"/>
                <w:szCs w:val="24"/>
                <w:lang w:eastAsia="lv-LV"/>
              </w:rPr>
              <w:t>04</w:t>
            </w:r>
            <w:r w:rsidR="00424438" w:rsidRPr="00424438">
              <w:rPr>
                <w:rFonts w:ascii="Cambria" w:eastAsia="Cambria" w:hAnsi="Cambria" w:cs="Times New Roman"/>
                <w:sz w:val="24"/>
                <w:szCs w:val="24"/>
                <w:lang w:eastAsia="lv-LV"/>
              </w:rPr>
              <w:t>.12.2014.</w:t>
            </w:r>
          </w:p>
        </w:tc>
        <w:tc>
          <w:tcPr>
            <w:tcW w:w="425" w:type="dxa"/>
            <w:shd w:val="clear" w:color="auto" w:fill="auto"/>
          </w:tcPr>
          <w:p w:rsidR="00424438" w:rsidRPr="00424438" w:rsidRDefault="00424438" w:rsidP="00424438">
            <w:pPr>
              <w:spacing w:after="0" w:line="240" w:lineRule="auto"/>
              <w:rPr>
                <w:rFonts w:ascii="Cambria" w:eastAsia="Cambria" w:hAnsi="Cambria" w:cs="Times New Roman"/>
                <w:sz w:val="24"/>
                <w:szCs w:val="24"/>
                <w:highlight w:val="yellow"/>
                <w:lang w:eastAsia="lv-LV"/>
              </w:rPr>
            </w:pPr>
          </w:p>
        </w:tc>
        <w:tc>
          <w:tcPr>
            <w:tcW w:w="1134" w:type="dxa"/>
            <w:tcBorders>
              <w:bottom w:val="single" w:sz="4" w:space="0" w:color="auto"/>
            </w:tcBorders>
            <w:shd w:val="clear" w:color="auto" w:fill="auto"/>
          </w:tcPr>
          <w:p w:rsidR="00424438" w:rsidRPr="00424438" w:rsidRDefault="00424438" w:rsidP="00424438">
            <w:pPr>
              <w:spacing w:after="0" w:line="240" w:lineRule="auto"/>
              <w:rPr>
                <w:rFonts w:ascii="Cambria" w:eastAsia="Cambria" w:hAnsi="Cambria" w:cs="Times New Roman"/>
                <w:b/>
                <w:sz w:val="24"/>
                <w:szCs w:val="24"/>
                <w:highlight w:val="yellow"/>
                <w:lang w:eastAsia="lv-LV"/>
              </w:rPr>
            </w:pPr>
          </w:p>
        </w:tc>
      </w:tr>
      <w:tr w:rsidR="00424438" w:rsidRPr="00424438" w:rsidTr="009958C1">
        <w:tc>
          <w:tcPr>
            <w:tcW w:w="392" w:type="dxa"/>
            <w:shd w:val="clear" w:color="auto" w:fill="auto"/>
          </w:tcPr>
          <w:p w:rsidR="00424438" w:rsidRPr="00424438" w:rsidRDefault="00424438" w:rsidP="00424438">
            <w:pPr>
              <w:spacing w:after="0" w:line="240" w:lineRule="auto"/>
              <w:rPr>
                <w:rFonts w:ascii="Cambria" w:eastAsia="Cambria" w:hAnsi="Cambria" w:cs="Times New Roman"/>
                <w:sz w:val="24"/>
                <w:szCs w:val="24"/>
                <w:lang w:eastAsia="lv-LV"/>
              </w:rPr>
            </w:pPr>
          </w:p>
        </w:tc>
        <w:tc>
          <w:tcPr>
            <w:tcW w:w="1134" w:type="dxa"/>
            <w:tcBorders>
              <w:top w:val="single" w:sz="4" w:space="0" w:color="auto"/>
              <w:bottom w:val="single" w:sz="4" w:space="0" w:color="auto"/>
            </w:tcBorders>
            <w:shd w:val="clear" w:color="auto" w:fill="auto"/>
          </w:tcPr>
          <w:p w:rsidR="00424438" w:rsidRPr="00424438" w:rsidRDefault="00424438" w:rsidP="00424438">
            <w:pPr>
              <w:spacing w:after="0" w:line="240" w:lineRule="auto"/>
              <w:rPr>
                <w:rFonts w:ascii="Cambria" w:eastAsia="Cambria" w:hAnsi="Cambria" w:cs="Times New Roman"/>
                <w:sz w:val="24"/>
                <w:szCs w:val="24"/>
                <w:lang w:eastAsia="lv-LV"/>
              </w:rPr>
            </w:pPr>
          </w:p>
        </w:tc>
        <w:tc>
          <w:tcPr>
            <w:tcW w:w="425" w:type="dxa"/>
            <w:shd w:val="clear" w:color="auto" w:fill="auto"/>
          </w:tcPr>
          <w:p w:rsidR="00424438" w:rsidRPr="00424438" w:rsidRDefault="00424438" w:rsidP="00424438">
            <w:pPr>
              <w:spacing w:after="0" w:line="240" w:lineRule="auto"/>
              <w:rPr>
                <w:rFonts w:ascii="Cambria" w:eastAsia="Cambria" w:hAnsi="Cambria" w:cs="Times New Roman"/>
                <w:sz w:val="24"/>
                <w:szCs w:val="24"/>
                <w:lang w:eastAsia="lv-LV"/>
              </w:rPr>
            </w:pPr>
          </w:p>
        </w:tc>
        <w:tc>
          <w:tcPr>
            <w:tcW w:w="1134" w:type="dxa"/>
            <w:tcBorders>
              <w:top w:val="single" w:sz="4" w:space="0" w:color="auto"/>
              <w:bottom w:val="single" w:sz="4" w:space="0" w:color="auto"/>
            </w:tcBorders>
            <w:shd w:val="clear" w:color="auto" w:fill="auto"/>
          </w:tcPr>
          <w:p w:rsidR="00424438" w:rsidRPr="00424438" w:rsidRDefault="00424438" w:rsidP="00424438">
            <w:pPr>
              <w:spacing w:after="0" w:line="240" w:lineRule="auto"/>
              <w:rPr>
                <w:rFonts w:ascii="Cambria" w:eastAsia="Cambria" w:hAnsi="Cambria" w:cs="Times New Roman"/>
                <w:b/>
                <w:sz w:val="24"/>
                <w:szCs w:val="24"/>
                <w:lang w:eastAsia="lv-LV"/>
              </w:rPr>
            </w:pPr>
          </w:p>
        </w:tc>
      </w:tr>
    </w:tbl>
    <w:p w:rsidR="00424438" w:rsidRPr="00424438" w:rsidRDefault="00424438" w:rsidP="00424438">
      <w:pPr>
        <w:spacing w:after="0" w:line="240" w:lineRule="auto"/>
        <w:rPr>
          <w:rFonts w:ascii="Times New Roman" w:eastAsia="Times New Roman" w:hAnsi="Times New Roman" w:cs="Times New Roman"/>
          <w:b/>
          <w:sz w:val="24"/>
          <w:szCs w:val="24"/>
          <w:lang w:eastAsia="lv-LV"/>
        </w:rPr>
      </w:pPr>
    </w:p>
    <w:p w:rsidR="00424438" w:rsidRPr="00424438" w:rsidRDefault="00424438" w:rsidP="00424438">
      <w:pPr>
        <w:spacing w:after="0" w:line="240" w:lineRule="auto"/>
        <w:jc w:val="right"/>
        <w:rPr>
          <w:rFonts w:ascii="Times New Roman" w:eastAsia="Times New Roman" w:hAnsi="Times New Roman" w:cs="Times New Roman"/>
          <w:b/>
          <w:sz w:val="24"/>
          <w:szCs w:val="24"/>
          <w:lang w:eastAsia="lv-LV"/>
        </w:rPr>
      </w:pPr>
      <w:r w:rsidRPr="00424438">
        <w:rPr>
          <w:rFonts w:ascii="Times New Roman" w:eastAsia="Times New Roman" w:hAnsi="Times New Roman" w:cs="Times New Roman"/>
          <w:b/>
          <w:sz w:val="24"/>
          <w:szCs w:val="24"/>
          <w:lang w:eastAsia="lv-LV"/>
        </w:rPr>
        <w:t>Ieinteresētajiem piegādātājiem</w:t>
      </w:r>
    </w:p>
    <w:p w:rsidR="00424438" w:rsidRPr="00424438" w:rsidRDefault="00424438" w:rsidP="00424438">
      <w:pPr>
        <w:spacing w:after="0" w:line="240" w:lineRule="auto"/>
        <w:rPr>
          <w:rFonts w:ascii="Times New Roman" w:eastAsia="Times New Roman" w:hAnsi="Times New Roman" w:cs="Times New Roman"/>
          <w:b/>
          <w:sz w:val="24"/>
          <w:szCs w:val="24"/>
          <w:lang w:eastAsia="lv-LV"/>
        </w:rPr>
      </w:pPr>
    </w:p>
    <w:p w:rsidR="00424438" w:rsidRPr="00424438" w:rsidRDefault="00424438" w:rsidP="00424438">
      <w:pPr>
        <w:spacing w:after="0" w:line="240" w:lineRule="auto"/>
        <w:rPr>
          <w:rFonts w:ascii="Times New Roman" w:eastAsia="Times New Roman" w:hAnsi="Times New Roman" w:cs="Times New Roman"/>
          <w:b/>
          <w:sz w:val="24"/>
          <w:szCs w:val="24"/>
          <w:lang w:eastAsia="lv-LV"/>
        </w:rPr>
      </w:pPr>
      <w:r w:rsidRPr="00424438">
        <w:rPr>
          <w:rFonts w:ascii="Times New Roman" w:eastAsia="Times New Roman" w:hAnsi="Times New Roman" w:cs="Times New Roman"/>
          <w:b/>
          <w:sz w:val="24"/>
          <w:szCs w:val="24"/>
          <w:lang w:eastAsia="lv-LV"/>
        </w:rPr>
        <w:t>Par iepirkuma procedūras dokumentācijā noteiktajām prasībām</w:t>
      </w:r>
    </w:p>
    <w:p w:rsidR="00424438" w:rsidRPr="00424438" w:rsidRDefault="00424438" w:rsidP="00424438">
      <w:pPr>
        <w:spacing w:after="0" w:line="240" w:lineRule="auto"/>
        <w:jc w:val="both"/>
        <w:rPr>
          <w:rFonts w:ascii="Times New Roman" w:eastAsia="Times New Roman" w:hAnsi="Times New Roman" w:cs="Times New Roman"/>
          <w:sz w:val="24"/>
          <w:szCs w:val="24"/>
          <w:lang w:eastAsia="lv-LV"/>
        </w:rPr>
      </w:pPr>
    </w:p>
    <w:p w:rsidR="00424438" w:rsidRPr="00424438" w:rsidRDefault="00424438" w:rsidP="00424438">
      <w:pPr>
        <w:spacing w:after="0" w:line="240" w:lineRule="auto"/>
        <w:ind w:firstLine="720"/>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 xml:space="preserve">Jelgavas Tehnikums (turpmāk – Pasūtītājs) 2014.gada 04.novembrī Iepirkumu uzraudzības biroja mājas lapā internetā publicēja paziņojumu par līgumu iepirkuma procedūrai – atklātam konkursam „Izglītības programmas „Autotransports” nodrošināšanai nepieciešamo iekārtu piegāde”, identifikācijas Nr. JT 2014/15  (turpmāk – Iepirkuma procedūra). </w:t>
      </w:r>
    </w:p>
    <w:p w:rsidR="00424438" w:rsidRPr="00424438" w:rsidRDefault="00424438" w:rsidP="00424438">
      <w:pPr>
        <w:spacing w:after="0" w:line="240" w:lineRule="auto"/>
        <w:ind w:firstLine="720"/>
        <w:jc w:val="both"/>
        <w:rPr>
          <w:rFonts w:ascii="Times New Roman" w:eastAsia="Times New Roman" w:hAnsi="Times New Roman" w:cs="Times New Roman"/>
          <w:sz w:val="24"/>
          <w:szCs w:val="24"/>
          <w:lang w:eastAsia="lv-LV"/>
        </w:rPr>
      </w:pPr>
    </w:p>
    <w:p w:rsidR="00424438" w:rsidRPr="00424438" w:rsidRDefault="00424438" w:rsidP="00424438">
      <w:pPr>
        <w:spacing w:after="120" w:line="240" w:lineRule="auto"/>
        <w:ind w:firstLine="720"/>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Informējam, ka Pasūtītāja iepirkuma komisija 2014.gada 0</w:t>
      </w:r>
      <w:r w:rsidR="000956C7">
        <w:rPr>
          <w:rFonts w:ascii="Times New Roman" w:eastAsia="Times New Roman" w:hAnsi="Times New Roman" w:cs="Times New Roman"/>
          <w:sz w:val="24"/>
          <w:szCs w:val="24"/>
          <w:lang w:eastAsia="lv-LV"/>
        </w:rPr>
        <w:t>4</w:t>
      </w:r>
      <w:r w:rsidRPr="00424438">
        <w:rPr>
          <w:rFonts w:ascii="Times New Roman" w:eastAsia="Times New Roman" w:hAnsi="Times New Roman" w:cs="Times New Roman"/>
          <w:sz w:val="24"/>
          <w:szCs w:val="24"/>
          <w:lang w:eastAsia="lv-LV"/>
        </w:rPr>
        <w:t>.decembrī nolēma izdarīt šādus grozījumus Iepirkuma procedūras dokumentācijā:</w:t>
      </w:r>
    </w:p>
    <w:p w:rsidR="00424438" w:rsidRPr="00424438" w:rsidRDefault="00424438" w:rsidP="00424438">
      <w:pPr>
        <w:numPr>
          <w:ilvl w:val="0"/>
          <w:numId w:val="3"/>
        </w:numPr>
        <w:spacing w:after="0" w:line="240" w:lineRule="auto"/>
        <w:ind w:left="709"/>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6.4.punktu šādā redakcijā:</w:t>
      </w:r>
    </w:p>
    <w:p w:rsidR="00424438" w:rsidRPr="00424438" w:rsidRDefault="00424438" w:rsidP="00424438">
      <w:pPr>
        <w:spacing w:after="0" w:line="240" w:lineRule="auto"/>
        <w:ind w:left="720"/>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„6.4. Iepirkuma līgums stājas spēkā pēc abpusējas parakstīšanas un nolikuma prasībām atbilstošas līguma izpildes spējas garantijas saņemšanas”.</w:t>
      </w:r>
    </w:p>
    <w:p w:rsidR="001C3F05" w:rsidRDefault="001C3F05" w:rsidP="00424438">
      <w:pPr>
        <w:numPr>
          <w:ilvl w:val="0"/>
          <w:numId w:val="2"/>
        </w:numPr>
        <w:spacing w:after="12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Izteikt Iepirkuma procedūras nolikuma 13.2.punktu šādā redakcijā:</w:t>
      </w:r>
    </w:p>
    <w:p w:rsidR="001C3F05" w:rsidRPr="001C3F05" w:rsidRDefault="001C3F05" w:rsidP="001C3F05">
      <w:pPr>
        <w:suppressAutoHyphens/>
        <w:spacing w:after="0" w:line="240" w:lineRule="auto"/>
        <w:ind w:left="709"/>
        <w:jc w:val="both"/>
        <w:rPr>
          <w:rFonts w:ascii="Times New Roman" w:eastAsia="Times New Roman" w:hAnsi="Times New Roman" w:cs="Times New Roman"/>
          <w:b/>
          <w:sz w:val="24"/>
          <w:lang w:eastAsia="ar-SA"/>
        </w:rPr>
      </w:pPr>
      <w:r w:rsidRPr="001C3F05">
        <w:rPr>
          <w:rFonts w:ascii="Times New Roman" w:eastAsia="Times New Roman" w:hAnsi="Times New Roman" w:cs="Times New Roman"/>
          <w:sz w:val="24"/>
          <w:szCs w:val="24"/>
          <w:lang w:eastAsia="lv-LV"/>
        </w:rPr>
        <w:t xml:space="preserve">„13.2. </w:t>
      </w:r>
      <w:r w:rsidRPr="001C3F05">
        <w:rPr>
          <w:rFonts w:ascii="Times New Roman" w:eastAsia="Times New Roman" w:hAnsi="Times New Roman" w:cs="Times New Roman"/>
          <w:sz w:val="24"/>
          <w:szCs w:val="24"/>
          <w:lang w:eastAsia="ar-SA"/>
        </w:rPr>
        <w:t>Pretendents iepriekšējo 3 (trīs) gadu laikā (2012., 2013., 2014. un 2015. līdz piedāvājuma iesniegšanas brīdim) ir izpildījis vismaz 1 (vienu) līdzvērtīgu piegādes līgumu. Par līdzvērtīgu piegādes līgumu uzskatāms līgums, kas atbilst zemāk norādītajām prasībām:</w:t>
      </w:r>
    </w:p>
    <w:p w:rsidR="001C3F05" w:rsidRPr="001C3F05" w:rsidRDefault="001C3F05" w:rsidP="001C3F05">
      <w:pPr>
        <w:pStyle w:val="ListParagraph"/>
        <w:numPr>
          <w:ilvl w:val="2"/>
          <w:numId w:val="6"/>
        </w:numPr>
        <w:suppressAutoHyphens/>
        <w:spacing w:after="0" w:line="240" w:lineRule="auto"/>
        <w:ind w:left="1418"/>
        <w:jc w:val="both"/>
        <w:rPr>
          <w:rFonts w:ascii="Times New Roman" w:eastAsia="Times New Roman" w:hAnsi="Times New Roman" w:cs="Times New Roman"/>
          <w:b/>
          <w:sz w:val="24"/>
          <w:lang w:eastAsia="ar-SA"/>
        </w:rPr>
      </w:pPr>
      <w:r w:rsidRPr="001C3F05">
        <w:rPr>
          <w:rFonts w:ascii="Times New Roman" w:eastAsia="Times New Roman" w:hAnsi="Times New Roman" w:cs="Times New Roman"/>
          <w:sz w:val="24"/>
          <w:szCs w:val="24"/>
          <w:lang w:eastAsia="ar-SA"/>
        </w:rPr>
        <w:t xml:space="preserve">līguma vērtība bez PVN ne mazāka kā </w:t>
      </w:r>
      <w:r w:rsidRPr="001C3F05">
        <w:rPr>
          <w:rFonts w:ascii="Times New Roman" w:eastAsia="Times New Roman" w:hAnsi="Times New Roman" w:cs="Times New Roman"/>
          <w:sz w:val="24"/>
          <w:szCs w:val="24"/>
          <w:shd w:val="clear" w:color="auto" w:fill="FFFFFF"/>
          <w:lang w:eastAsia="ar-SA"/>
        </w:rPr>
        <w:t>50</w:t>
      </w:r>
      <w:r w:rsidRPr="001C3F05">
        <w:rPr>
          <w:rFonts w:ascii="Times New Roman" w:eastAsia="Times New Roman" w:hAnsi="Times New Roman" w:cs="Times New Roman"/>
          <w:sz w:val="24"/>
          <w:szCs w:val="24"/>
          <w:lang w:eastAsia="ar-SA"/>
        </w:rPr>
        <w:t>% no pretendenta piedāvātās līgumcenas bez PVN;</w:t>
      </w:r>
    </w:p>
    <w:p w:rsidR="001C3F05" w:rsidRPr="001C3F05" w:rsidRDefault="001C3F05" w:rsidP="001C3F05">
      <w:pPr>
        <w:pStyle w:val="ListParagraph"/>
        <w:numPr>
          <w:ilvl w:val="2"/>
          <w:numId w:val="6"/>
        </w:numPr>
        <w:suppressAutoHyphens/>
        <w:spacing w:after="0" w:line="240" w:lineRule="auto"/>
        <w:ind w:left="1418"/>
        <w:jc w:val="both"/>
        <w:rPr>
          <w:rFonts w:ascii="Times New Roman" w:eastAsia="Times New Roman" w:hAnsi="Times New Roman" w:cs="Times New Roman"/>
          <w:b/>
          <w:sz w:val="24"/>
          <w:lang w:eastAsia="ar-SA"/>
        </w:rPr>
      </w:pPr>
      <w:r w:rsidRPr="001C3F05">
        <w:rPr>
          <w:rFonts w:ascii="Times New Roman" w:eastAsia="Times New Roman" w:hAnsi="Times New Roman" w:cs="Times New Roman"/>
          <w:sz w:val="24"/>
          <w:szCs w:val="24"/>
          <w:lang w:eastAsia="ar-SA"/>
        </w:rPr>
        <w:t>līguma ietvaros piegādāto preču funkcionālais pielietojums atbilst piegādājamo preču funkcionālajam pielietojumam – piegādātās servisa, remonta un apkalpes iekārtas un/vai mācību stendi”.</w:t>
      </w:r>
    </w:p>
    <w:p w:rsidR="001C3F05" w:rsidRDefault="001C3F05" w:rsidP="00424438">
      <w:pPr>
        <w:numPr>
          <w:ilvl w:val="0"/>
          <w:numId w:val="2"/>
        </w:numPr>
        <w:spacing w:after="12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Izteikt Iepirkuma procedūras nolikuma 13.3.punktu šādā redakcijā:</w:t>
      </w:r>
    </w:p>
    <w:p w:rsidR="001C3F05" w:rsidRPr="001C3F05" w:rsidRDefault="001C3F05" w:rsidP="001C3F05">
      <w:pPr>
        <w:suppressAutoHyphens/>
        <w:spacing w:after="0" w:line="240" w:lineRule="auto"/>
        <w:ind w:left="720"/>
        <w:jc w:val="both"/>
        <w:rPr>
          <w:rFonts w:ascii="Times New Roman" w:eastAsia="Times New Roman" w:hAnsi="Times New Roman" w:cs="Times New Roman"/>
          <w:b/>
          <w:color w:val="FF0000"/>
          <w:sz w:val="24"/>
          <w:lang w:eastAsia="ar-SA"/>
        </w:rPr>
      </w:pPr>
      <w:r w:rsidRPr="001C3F05">
        <w:rPr>
          <w:rFonts w:ascii="Times New Roman" w:eastAsia="Times New Roman" w:hAnsi="Times New Roman" w:cs="Times New Roman"/>
          <w:sz w:val="24"/>
          <w:szCs w:val="24"/>
          <w:lang w:eastAsia="lv-LV"/>
        </w:rPr>
        <w:t xml:space="preserve">„13.3. </w:t>
      </w:r>
      <w:r w:rsidRPr="001C3F05">
        <w:rPr>
          <w:rFonts w:ascii="Times New Roman" w:eastAsia="Times New Roman" w:hAnsi="Times New Roman" w:cs="Times New Roman"/>
          <w:sz w:val="24"/>
          <w:szCs w:val="24"/>
          <w:lang w:eastAsia="ar-SA"/>
        </w:rPr>
        <w:t>Pretendenta l</w:t>
      </w:r>
      <w:r w:rsidRPr="001C3F05">
        <w:rPr>
          <w:rFonts w:ascii="Times New Roman" w:eastAsia="Times New Roman" w:hAnsi="Times New Roman" w:cs="Times New Roman"/>
          <w:bCs/>
          <w:sz w:val="24"/>
          <w:szCs w:val="24"/>
          <w:lang w:eastAsia="ar-SA"/>
        </w:rPr>
        <w:t xml:space="preserve">ikviditātes kopējam </w:t>
      </w:r>
      <w:r w:rsidRPr="001C3F05">
        <w:rPr>
          <w:rFonts w:ascii="Times New Roman" w:eastAsia="Times New Roman" w:hAnsi="Times New Roman" w:cs="Times New Roman"/>
          <w:sz w:val="24"/>
          <w:szCs w:val="24"/>
          <w:lang w:eastAsia="ar-SA"/>
        </w:rPr>
        <w:t>koeficientam (apgrozāmie līdzekļi /īstermiņa saistības) uz 2014.gada 31.decembri jābūt ne mazākam par 1,00 (viens komats nulle nulle)”.</w:t>
      </w:r>
    </w:p>
    <w:p w:rsidR="00424438" w:rsidRPr="00424438" w:rsidRDefault="00424438" w:rsidP="00424438">
      <w:pPr>
        <w:numPr>
          <w:ilvl w:val="0"/>
          <w:numId w:val="2"/>
        </w:numPr>
        <w:spacing w:after="12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13.4.punktu šādā redakcijā:</w:t>
      </w:r>
    </w:p>
    <w:p w:rsidR="00424438" w:rsidRPr="00424438" w:rsidRDefault="00424438" w:rsidP="00424438">
      <w:pPr>
        <w:spacing w:after="0" w:line="240" w:lineRule="auto"/>
        <w:ind w:left="720"/>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„13.4.</w:t>
      </w:r>
      <w:r w:rsidRPr="00424438">
        <w:rPr>
          <w:rFonts w:ascii="Times New Roman" w:eastAsia="Times New Roman" w:hAnsi="Times New Roman" w:cs="Times New Roman"/>
          <w:sz w:val="24"/>
          <w:szCs w:val="24"/>
          <w:lang w:eastAsia="lv-LV"/>
        </w:rPr>
        <w:tab/>
      </w:r>
      <w:r w:rsidR="007B4688" w:rsidRPr="007B4688">
        <w:rPr>
          <w:rFonts w:ascii="Times New Roman" w:eastAsia="Times New Roman" w:hAnsi="Times New Roman" w:cs="Times New Roman"/>
          <w:sz w:val="24"/>
          <w:szCs w:val="24"/>
          <w:lang w:eastAsia="lv-LV"/>
        </w:rPr>
        <w:t>Pretendenta vidējais neto apgrozījums iepriekšējos 3 (trīs) noslēgtajos finanšu gados piegāžu (attiecas uz jebkuru piegādi) un iekārtu uzstādīšanas veikšanā ir vismaz piedāvātās līgumcenas apmērā (uzņēmumi, kas dibināti vēlāk, norāda par nostrādāto periodu). Ja piedāvājumu iesniedz personālsabiedrība vai personu apvienība, pretendenta vidējais neto apgrozījums piegāžu (attiecas uz jebkuru piegādi) un iekārtu uzstādīšanas veikšanā, iepriekšējos 3 (trīs) noslēgtajos fina</w:t>
      </w:r>
      <w:r w:rsidR="007B4688">
        <w:rPr>
          <w:rFonts w:ascii="Times New Roman" w:eastAsia="Times New Roman" w:hAnsi="Times New Roman" w:cs="Times New Roman"/>
          <w:sz w:val="24"/>
          <w:szCs w:val="24"/>
          <w:lang w:eastAsia="lv-LV"/>
        </w:rPr>
        <w:t>nšu gados,</w:t>
      </w:r>
      <w:r w:rsidR="007B4688" w:rsidRPr="007B4688">
        <w:rPr>
          <w:rFonts w:ascii="Times New Roman" w:eastAsia="Times New Roman" w:hAnsi="Times New Roman" w:cs="Times New Roman"/>
          <w:sz w:val="24"/>
          <w:szCs w:val="24"/>
          <w:lang w:eastAsia="lv-LV"/>
        </w:rPr>
        <w:t xml:space="preserve"> tiek aprēķināts no visu personu apvienības dal</w:t>
      </w:r>
      <w:r w:rsidR="007B4688">
        <w:rPr>
          <w:rFonts w:ascii="Times New Roman" w:eastAsia="Times New Roman" w:hAnsi="Times New Roman" w:cs="Times New Roman"/>
          <w:sz w:val="24"/>
          <w:szCs w:val="24"/>
          <w:lang w:eastAsia="lv-LV"/>
        </w:rPr>
        <w:t>ībnieku kopējā neto apgrozījuma</w:t>
      </w:r>
      <w:r w:rsidR="000A570D">
        <w:rPr>
          <w:rFonts w:ascii="Times New Roman" w:eastAsia="Times New Roman" w:hAnsi="Times New Roman" w:cs="Times New Roman"/>
          <w:sz w:val="24"/>
          <w:szCs w:val="24"/>
          <w:lang w:eastAsia="lv-LV"/>
        </w:rPr>
        <w:t>”.</w:t>
      </w:r>
    </w:p>
    <w:p w:rsidR="00C7228C" w:rsidRPr="001C3F05" w:rsidRDefault="00424438" w:rsidP="000A570D">
      <w:pPr>
        <w:pStyle w:val="ListParagraph"/>
        <w:numPr>
          <w:ilvl w:val="0"/>
          <w:numId w:val="2"/>
        </w:numPr>
        <w:suppressAutoHyphens/>
        <w:spacing w:after="0" w:line="240" w:lineRule="auto"/>
        <w:jc w:val="both"/>
        <w:rPr>
          <w:rFonts w:ascii="Times New Roman" w:eastAsia="Times New Roman" w:hAnsi="Times New Roman" w:cs="Times New Roman"/>
          <w:sz w:val="24"/>
          <w:szCs w:val="24"/>
          <w:lang w:eastAsia="ar-SA"/>
        </w:rPr>
      </w:pPr>
      <w:r w:rsidRPr="001C3F05">
        <w:rPr>
          <w:rFonts w:ascii="Times New Roman" w:eastAsia="Times New Roman" w:hAnsi="Times New Roman" w:cs="Times New Roman"/>
          <w:i/>
          <w:sz w:val="24"/>
          <w:szCs w:val="24"/>
          <w:lang w:eastAsia="lv-LV"/>
        </w:rPr>
        <w:t>I</w:t>
      </w:r>
      <w:r w:rsidR="00C7228C" w:rsidRPr="001C3F05">
        <w:rPr>
          <w:rFonts w:ascii="Times New Roman" w:eastAsia="Times New Roman" w:hAnsi="Times New Roman" w:cs="Times New Roman"/>
          <w:i/>
          <w:sz w:val="24"/>
          <w:szCs w:val="24"/>
          <w:lang w:eastAsia="lv-LV"/>
        </w:rPr>
        <w:t>zteikt Iepirkuma procedūras nolikuma 14.2.punktu šādā redakcijā:</w:t>
      </w:r>
      <w:r w:rsidR="00C7228C" w:rsidRPr="001C3F05">
        <w:rPr>
          <w:rFonts w:ascii="Times New Roman" w:eastAsia="Times New Roman" w:hAnsi="Times New Roman" w:cs="Times New Roman"/>
          <w:i/>
          <w:sz w:val="24"/>
          <w:szCs w:val="24"/>
          <w:lang w:eastAsia="lv-LV"/>
        </w:rPr>
        <w:br/>
      </w:r>
      <w:r w:rsidR="00C7228C" w:rsidRPr="001C3F05">
        <w:rPr>
          <w:rFonts w:ascii="Times New Roman" w:eastAsia="Times New Roman" w:hAnsi="Times New Roman" w:cs="Times New Roman"/>
          <w:sz w:val="24"/>
          <w:szCs w:val="24"/>
          <w:lang w:eastAsia="ar-SA"/>
        </w:rPr>
        <w:t>„</w:t>
      </w:r>
      <w:r w:rsidR="000A570D" w:rsidRPr="000A570D">
        <w:rPr>
          <w:rFonts w:ascii="Times New Roman" w:eastAsia="Times New Roman" w:hAnsi="Times New Roman" w:cs="Times New Roman"/>
          <w:sz w:val="24"/>
          <w:szCs w:val="24"/>
          <w:lang w:eastAsia="ar-SA"/>
        </w:rPr>
        <w:t>14.2.</w:t>
      </w:r>
      <w:r w:rsidR="000A570D" w:rsidRPr="000A570D">
        <w:rPr>
          <w:rFonts w:ascii="Times New Roman" w:eastAsia="Times New Roman" w:hAnsi="Times New Roman" w:cs="Times New Roman"/>
          <w:sz w:val="24"/>
          <w:szCs w:val="24"/>
          <w:lang w:eastAsia="ar-SA"/>
        </w:rPr>
        <w:tab/>
        <w:t xml:space="preserve">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 Ja pretendents plāno balstīties uz citu personu iespējām, lai apliecinātu, ka pretendenta kvalifikācija atbilst pretendenta kvalifikācijas prasībām, tam </w:t>
      </w:r>
      <w:r w:rsidR="000A570D" w:rsidRPr="000A570D">
        <w:rPr>
          <w:rFonts w:ascii="Times New Roman" w:eastAsia="Times New Roman" w:hAnsi="Times New Roman" w:cs="Times New Roman"/>
          <w:sz w:val="24"/>
          <w:szCs w:val="24"/>
          <w:lang w:eastAsia="ar-SA"/>
        </w:rPr>
        <w:lastRenderedPageBreak/>
        <w:t>jāiesniedz, starp pretendentu un personas, uz kuras finanšu apgrozījumu tas balstās, dokuments par personas apvienības izveidošanu, kura kopumā būs atbildīga par līguma izpildi, vai cits līdzvērtīgs pierādījums (piemēram, apņemšanās uz līguma izpildes brīdi izveidot apvienību, kas būs solidāri atbildīga par līguma izpildi)</w:t>
      </w:r>
      <w:r w:rsidR="00C7228C" w:rsidRPr="001C3F05">
        <w:rPr>
          <w:rFonts w:ascii="Times New Roman" w:eastAsia="Times New Roman" w:hAnsi="Times New Roman" w:cs="Times New Roman"/>
          <w:sz w:val="24"/>
          <w:szCs w:val="24"/>
          <w:lang w:eastAsia="ar-SA"/>
        </w:rPr>
        <w:t>”.</w:t>
      </w:r>
    </w:p>
    <w:p w:rsidR="001C3F05" w:rsidRDefault="001C3F05"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Izteikt Iepirkuma procedūras nolikuma 16.4.punktu šādā redakcijā:</w:t>
      </w:r>
    </w:p>
    <w:p w:rsidR="001C3F05" w:rsidRPr="009B4945" w:rsidRDefault="001C3F05" w:rsidP="001C3F05">
      <w:pPr>
        <w:suppressAutoHyphens/>
        <w:spacing w:after="0" w:line="240" w:lineRule="auto"/>
        <w:ind w:left="709"/>
        <w:jc w:val="both"/>
        <w:rPr>
          <w:rFonts w:ascii="Times New Roman" w:eastAsia="Times New Roman" w:hAnsi="Times New Roman" w:cs="Times New Roman"/>
          <w:b/>
          <w:sz w:val="24"/>
          <w:szCs w:val="24"/>
          <w:lang w:eastAsia="ar-SA"/>
        </w:rPr>
      </w:pPr>
      <w:r w:rsidRPr="009B4945">
        <w:rPr>
          <w:rFonts w:ascii="Times New Roman" w:eastAsia="Times New Roman" w:hAnsi="Times New Roman" w:cs="Times New Roman"/>
          <w:i/>
          <w:sz w:val="24"/>
          <w:szCs w:val="24"/>
          <w:lang w:eastAsia="lv-LV"/>
        </w:rPr>
        <w:t>„</w:t>
      </w:r>
      <w:r w:rsidRPr="009B4945">
        <w:rPr>
          <w:rFonts w:ascii="Times New Roman" w:eastAsia="Times New Roman" w:hAnsi="Times New Roman" w:cs="Times New Roman"/>
          <w:sz w:val="24"/>
          <w:szCs w:val="24"/>
          <w:lang w:eastAsia="lv-LV"/>
        </w:rPr>
        <w:t>16.4.</w:t>
      </w:r>
      <w:r w:rsidRPr="009B4945">
        <w:rPr>
          <w:rFonts w:ascii="Times New Roman" w:eastAsia="Times New Roman" w:hAnsi="Times New Roman" w:cs="Times New Roman"/>
          <w:i/>
          <w:sz w:val="24"/>
          <w:szCs w:val="24"/>
          <w:lang w:eastAsia="lv-LV"/>
        </w:rPr>
        <w:t xml:space="preserve"> </w:t>
      </w:r>
      <w:r w:rsidRPr="009B4945">
        <w:rPr>
          <w:rFonts w:ascii="Times New Roman" w:eastAsia="Times New Roman" w:hAnsi="Times New Roman" w:cs="Times New Roman"/>
          <w:sz w:val="24"/>
          <w:szCs w:val="24"/>
          <w:lang w:eastAsia="ar-SA"/>
        </w:rPr>
        <w:t>Pretendenta iepriekšējo 3 (trīs) gadu laikā (2012., 2013., 2014. un 2015. līdz piedāvājuma iesniegšanas brīdim) izpildīto līdzvērtīgu piegāžu līgumu saraksts, kas apliecina nolikuma 13.2.apakšpunktā minētās prasības. Piegāžu līgumu saraksts noformējams atbilstoši nolikuma 2.pielikumam, norādot tajā preču piegādes apjomu un summu, piegādes saņēmēja nosaukumu, valsti, piegādes izpildes laiku, kontaktpersonas vārdu, uzvārdu, tālruņa numuru”.</w:t>
      </w:r>
    </w:p>
    <w:p w:rsidR="003648DE" w:rsidRDefault="003648DE"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Izteikt Iepirkuma procedūras nolikuma 3.pielikuma „Tehniskā specifikācija”42., 43., 44.un 45.pozīciju šādā redakcijā:</w:t>
      </w:r>
    </w:p>
    <w:tbl>
      <w:tblPr>
        <w:tblW w:w="85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9"/>
        <w:gridCol w:w="2276"/>
        <w:gridCol w:w="995"/>
        <w:gridCol w:w="992"/>
        <w:gridCol w:w="3665"/>
      </w:tblGrid>
      <w:tr w:rsidR="003648DE" w:rsidRPr="003648DE" w:rsidTr="003648DE">
        <w:trPr>
          <w:trHeight w:val="279"/>
        </w:trPr>
        <w:tc>
          <w:tcPr>
            <w:tcW w:w="629"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9"/>
              <w:jc w:val="center"/>
              <w:rPr>
                <w:rFonts w:ascii="Times New Roman" w:eastAsia="Malgun Gothic" w:hAnsi="Times New Roman" w:cs="Times New Roman"/>
                <w:sz w:val="24"/>
                <w:szCs w:val="24"/>
                <w:lang w:eastAsia="ko-KR"/>
              </w:rPr>
            </w:pPr>
            <w:r w:rsidRPr="003648DE">
              <w:rPr>
                <w:rFonts w:ascii="Times New Roman" w:eastAsia="Times New Roman" w:hAnsi="Times New Roman" w:cs="Times New Roman"/>
                <w:lang w:eastAsia="ar-SA"/>
              </w:rPr>
              <w:t>42.</w:t>
            </w:r>
          </w:p>
        </w:tc>
        <w:tc>
          <w:tcPr>
            <w:tcW w:w="2276"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uppressAutoHyphens/>
              <w:spacing w:after="0"/>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sz w:val="24"/>
                <w:szCs w:val="24"/>
                <w:lang w:eastAsia="ar-SA"/>
              </w:rPr>
              <w:t>Kurss: Bremžu sistēma: ABS, ESP izslīdēšanas kontrole, bremžu pastiprinātājs</w:t>
            </w:r>
          </w:p>
        </w:tc>
        <w:tc>
          <w:tcPr>
            <w:tcW w:w="995"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0"/>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Gab</w:t>
            </w:r>
          </w:p>
        </w:tc>
        <w:tc>
          <w:tcPr>
            <w:tcW w:w="992"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33"/>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30</w:t>
            </w:r>
          </w:p>
        </w:tc>
        <w:tc>
          <w:tcPr>
            <w:tcW w:w="3665"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Ietver vismaz:</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virtuālās mācību vidies simulēšanas iespēju, atbilstoši veicamajiem eksperimentiem, vismaz par šādām tēmām:</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Bremžu sistēmas uzbūve un komponentes (bremžu pastiprinātājs, bremžu cilindrs, u.c)</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Trumuļu bremzes</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Disku bremzes</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ABS</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Saķeres kontroles sistēma ASR</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Elektriskā stabilitātes programma ESP</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Bremžu pastiprinātājs</w:t>
            </w:r>
          </w:p>
          <w:p w:rsidR="003648DE" w:rsidRPr="003648DE" w:rsidRDefault="003648DE" w:rsidP="003648DE">
            <w:pPr>
              <w:suppressAutoHyphens/>
              <w:spacing w:after="0"/>
              <w:ind w:left="34"/>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Elektro-hidrauliskās bremzes</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Elektro-mehāniskās bremzes</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Zināsānu pārbaudes testi</w:t>
            </w:r>
          </w:p>
          <w:p w:rsidR="003648DE" w:rsidRPr="003648DE" w:rsidRDefault="003648DE" w:rsidP="003648DE">
            <w:pPr>
              <w:suppressAutoHyphens/>
              <w:spacing w:after="0"/>
              <w:ind w:left="34"/>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Kursa apjoms vismaz 3 stundas</w:t>
            </w:r>
          </w:p>
        </w:tc>
      </w:tr>
      <w:tr w:rsidR="003648DE" w:rsidRPr="003648DE" w:rsidTr="003648DE">
        <w:trPr>
          <w:trHeight w:val="279"/>
        </w:trPr>
        <w:tc>
          <w:tcPr>
            <w:tcW w:w="629"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9"/>
              <w:jc w:val="center"/>
              <w:rPr>
                <w:rFonts w:ascii="Times New Roman" w:eastAsia="Malgun Gothic" w:hAnsi="Times New Roman" w:cs="Times New Roman"/>
                <w:sz w:val="24"/>
                <w:szCs w:val="24"/>
                <w:lang w:eastAsia="ko-KR"/>
              </w:rPr>
            </w:pPr>
            <w:r w:rsidRPr="003648DE">
              <w:rPr>
                <w:rFonts w:ascii="Times New Roman" w:eastAsia="Times New Roman" w:hAnsi="Times New Roman" w:cs="Times New Roman"/>
                <w:lang w:eastAsia="ar-SA"/>
              </w:rPr>
              <w:t>43.</w:t>
            </w:r>
          </w:p>
        </w:tc>
        <w:tc>
          <w:tcPr>
            <w:tcW w:w="2276"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tabs>
                <w:tab w:val="left" w:pos="176"/>
              </w:tabs>
              <w:suppressAutoHyphens/>
              <w:spacing w:after="0"/>
              <w:ind w:left="34"/>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sz w:val="24"/>
                <w:szCs w:val="24"/>
                <w:lang w:eastAsia="ar-SA"/>
              </w:rPr>
              <w:t>Kurss: Piekares sistēma, balstiekārta, atsperes, amortizatori</w:t>
            </w:r>
          </w:p>
          <w:p w:rsidR="003648DE" w:rsidRPr="003648DE" w:rsidRDefault="003648DE" w:rsidP="003648DE">
            <w:pPr>
              <w:spacing w:after="0"/>
              <w:ind w:left="34"/>
              <w:jc w:val="center"/>
              <w:rPr>
                <w:rFonts w:ascii="Times New Roman" w:eastAsia="Times New Roman" w:hAnsi="Times New Roman" w:cs="Times New Roman"/>
                <w:b/>
                <w:bCs/>
                <w:sz w:val="24"/>
                <w:szCs w:val="24"/>
                <w:lang w:eastAsia="ar-SA"/>
              </w:rPr>
            </w:pPr>
          </w:p>
        </w:tc>
        <w:tc>
          <w:tcPr>
            <w:tcW w:w="995"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0"/>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Gab</w:t>
            </w:r>
          </w:p>
        </w:tc>
        <w:tc>
          <w:tcPr>
            <w:tcW w:w="992"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33"/>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30</w:t>
            </w:r>
          </w:p>
        </w:tc>
        <w:tc>
          <w:tcPr>
            <w:tcW w:w="3665"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Ietver vismaz:</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Virtuālās mācību vides simulēšanas iespēju, atbilstoši veicamajiem eksperimentiem, vismaz par šādām tēmām:</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Piekares sistēmas uzbūve un tās komponentes</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Plakanatsperes</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Spirālatsperes</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Vērpes atsperes</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Pneimatiskā piekare</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Stabilizatori</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Hidrauliskie amortizatori</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Teleskopiskie amortizatori</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Zināsānu pārbaudes testi</w:t>
            </w:r>
          </w:p>
          <w:p w:rsidR="003648DE" w:rsidRPr="003648DE" w:rsidRDefault="003648DE" w:rsidP="003648DE">
            <w:pPr>
              <w:tabs>
                <w:tab w:val="left" w:pos="176"/>
              </w:tabs>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Kursa apjoms vismaz 3 stundas</w:t>
            </w:r>
          </w:p>
        </w:tc>
      </w:tr>
      <w:tr w:rsidR="003648DE" w:rsidRPr="003648DE" w:rsidTr="003648DE">
        <w:trPr>
          <w:trHeight w:val="279"/>
        </w:trPr>
        <w:tc>
          <w:tcPr>
            <w:tcW w:w="629"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9"/>
              <w:jc w:val="center"/>
              <w:rPr>
                <w:rFonts w:ascii="Times New Roman" w:eastAsia="Malgun Gothic" w:hAnsi="Times New Roman" w:cs="Times New Roman"/>
                <w:sz w:val="24"/>
                <w:szCs w:val="24"/>
                <w:lang w:eastAsia="ko-KR"/>
              </w:rPr>
            </w:pPr>
            <w:r w:rsidRPr="003648DE">
              <w:rPr>
                <w:rFonts w:ascii="Times New Roman" w:eastAsia="Times New Roman" w:hAnsi="Times New Roman" w:cs="Times New Roman"/>
                <w:lang w:eastAsia="ar-SA"/>
              </w:rPr>
              <w:t>44.</w:t>
            </w:r>
          </w:p>
        </w:tc>
        <w:tc>
          <w:tcPr>
            <w:tcW w:w="2276"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suppressAutoHyphens/>
              <w:spacing w:after="0"/>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sz w:val="24"/>
                <w:szCs w:val="24"/>
                <w:lang w:eastAsia="ar-SA"/>
              </w:rPr>
              <w:t xml:space="preserve">Kurss: Pārnesumkārba un </w:t>
            </w:r>
            <w:r w:rsidRPr="003648DE">
              <w:rPr>
                <w:rFonts w:ascii="Times New Roman" w:eastAsia="Times New Roman" w:hAnsi="Times New Roman" w:cs="Times New Roman"/>
                <w:b/>
                <w:bCs/>
                <w:sz w:val="24"/>
                <w:szCs w:val="24"/>
                <w:lang w:eastAsia="ar-SA"/>
              </w:rPr>
              <w:lastRenderedPageBreak/>
              <w:t xml:space="preserve">piedziņas sistēma </w:t>
            </w:r>
          </w:p>
          <w:p w:rsidR="003648DE" w:rsidRPr="003648DE" w:rsidRDefault="003648DE" w:rsidP="003648DE">
            <w:pPr>
              <w:spacing w:after="0"/>
              <w:ind w:left="34"/>
              <w:jc w:val="center"/>
              <w:rPr>
                <w:rFonts w:ascii="Times New Roman" w:eastAsia="Times New Roman" w:hAnsi="Times New Roman" w:cs="Times New Roman"/>
                <w:b/>
                <w:bCs/>
                <w:sz w:val="24"/>
                <w:szCs w:val="24"/>
                <w:lang w:eastAsia="ar-SA"/>
              </w:rPr>
            </w:pPr>
          </w:p>
        </w:tc>
        <w:tc>
          <w:tcPr>
            <w:tcW w:w="995"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0"/>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lastRenderedPageBreak/>
              <w:t>Gab</w:t>
            </w:r>
          </w:p>
        </w:tc>
        <w:tc>
          <w:tcPr>
            <w:tcW w:w="992"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33"/>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30</w:t>
            </w:r>
          </w:p>
        </w:tc>
        <w:tc>
          <w:tcPr>
            <w:tcW w:w="3665"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Ietver vismaz:</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 xml:space="preserve">Virtuālās mācību vides simulēšanas iespēju, atbilstoši veicamajiem </w:t>
            </w:r>
            <w:r w:rsidRPr="003648DE">
              <w:rPr>
                <w:rFonts w:ascii="Times New Roman" w:eastAsia="Times New Roman" w:hAnsi="Times New Roman" w:cs="Times New Roman"/>
                <w:sz w:val="20"/>
                <w:szCs w:val="20"/>
                <w:lang w:eastAsia="ar-SA"/>
              </w:rPr>
              <w:lastRenderedPageBreak/>
              <w:t>eksperimentiem, vismaz par šādām tēmām:</w:t>
            </w:r>
          </w:p>
          <w:p w:rsidR="003648DE" w:rsidRPr="003648DE" w:rsidRDefault="003648DE" w:rsidP="003648DE">
            <w:pPr>
              <w:tabs>
                <w:tab w:val="left" w:pos="176"/>
              </w:tabs>
              <w:suppressAutoHyphens/>
              <w:spacing w:after="0"/>
              <w:rPr>
                <w:rFonts w:ascii="Times New Roman" w:eastAsia="Times New Roman" w:hAnsi="Times New Roman" w:cs="Times New Roman"/>
                <w:sz w:val="20"/>
                <w:szCs w:val="20"/>
                <w:lang w:eastAsia="ar-SA"/>
              </w:rPr>
            </w:pP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Piedziņas sistēmas uzbūve un tās komponentes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Sajūgs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Manuālā transmisija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Automātiskā transmisija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Planetārie pārvadi</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Griezes momenta pārviedotāji</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Variējama transmisija</w:t>
            </w:r>
          </w:p>
          <w:p w:rsidR="003648DE" w:rsidRPr="003648DE" w:rsidRDefault="003648DE" w:rsidP="003648DE">
            <w:pPr>
              <w:suppressAutoHyphens/>
              <w:spacing w:after="0"/>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Sekvenciālā transmisija</w:t>
            </w:r>
          </w:p>
          <w:p w:rsidR="003648DE" w:rsidRPr="003648DE" w:rsidRDefault="003648DE" w:rsidP="003648DE">
            <w:pPr>
              <w:suppressAutoHyphens/>
              <w:spacing w:after="0"/>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Diferenciālie pārvadi</w:t>
            </w:r>
          </w:p>
          <w:p w:rsidR="003648DE" w:rsidRPr="003648DE" w:rsidRDefault="003648DE" w:rsidP="003648DE">
            <w:pPr>
              <w:suppressAutoHyphens/>
              <w:spacing w:after="0"/>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Piedziņas vārpstas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Priekšpiedziņa, pakaļpiedziņa, pilnpiedziņa</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Zināsānu pārbaudes testi</w:t>
            </w:r>
          </w:p>
          <w:p w:rsidR="003648DE" w:rsidRPr="003648DE" w:rsidRDefault="003648DE" w:rsidP="003648DE">
            <w:pPr>
              <w:suppressAutoHyphens/>
              <w:spacing w:after="0"/>
              <w:rPr>
                <w:rFonts w:ascii="Times New Roman" w:eastAsia="Times New Roman" w:hAnsi="Times New Roman" w:cs="Times New Roman"/>
                <w:sz w:val="20"/>
                <w:szCs w:val="20"/>
                <w:u w:val="single"/>
                <w:lang w:eastAsia="ar-SA"/>
              </w:rPr>
            </w:pPr>
            <w:r w:rsidRPr="003648DE">
              <w:rPr>
                <w:rFonts w:ascii="Times New Roman" w:eastAsia="Times New Roman" w:hAnsi="Times New Roman" w:cs="Times New Roman"/>
                <w:sz w:val="20"/>
                <w:szCs w:val="20"/>
                <w:lang w:eastAsia="ar-SA"/>
              </w:rPr>
              <w:t>Kursa apjoms vismaz 3 stundas</w:t>
            </w:r>
          </w:p>
        </w:tc>
      </w:tr>
      <w:tr w:rsidR="003648DE" w:rsidRPr="003648DE" w:rsidTr="003648DE">
        <w:trPr>
          <w:trHeight w:val="279"/>
        </w:trPr>
        <w:tc>
          <w:tcPr>
            <w:tcW w:w="629"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9"/>
              <w:jc w:val="center"/>
              <w:rPr>
                <w:rFonts w:ascii="Times New Roman" w:eastAsia="Malgun Gothic" w:hAnsi="Times New Roman" w:cs="Times New Roman"/>
                <w:sz w:val="24"/>
                <w:szCs w:val="24"/>
                <w:lang w:eastAsia="ko-KR"/>
              </w:rPr>
            </w:pPr>
            <w:r w:rsidRPr="003648DE">
              <w:rPr>
                <w:rFonts w:ascii="Times New Roman" w:eastAsia="Times New Roman" w:hAnsi="Times New Roman" w:cs="Times New Roman"/>
                <w:lang w:eastAsia="ar-SA"/>
              </w:rPr>
              <w:lastRenderedPageBreak/>
              <w:t>45.</w:t>
            </w:r>
          </w:p>
        </w:tc>
        <w:tc>
          <w:tcPr>
            <w:tcW w:w="2276"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suppressAutoHyphens/>
              <w:spacing w:after="0"/>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sz w:val="24"/>
                <w:szCs w:val="24"/>
                <w:lang w:eastAsia="ar-SA"/>
              </w:rPr>
              <w:t>Kurss: Stūrēšanas sistēma</w:t>
            </w:r>
          </w:p>
          <w:p w:rsidR="003648DE" w:rsidRPr="003648DE" w:rsidRDefault="003648DE" w:rsidP="003648DE">
            <w:pPr>
              <w:spacing w:after="0"/>
              <w:ind w:left="34"/>
              <w:jc w:val="center"/>
              <w:rPr>
                <w:rFonts w:ascii="Times New Roman" w:eastAsia="Times New Roman" w:hAnsi="Times New Roman" w:cs="Times New Roman"/>
                <w:b/>
                <w:bCs/>
                <w:sz w:val="24"/>
                <w:szCs w:val="24"/>
                <w:lang w:eastAsia="ar-SA"/>
              </w:rPr>
            </w:pPr>
          </w:p>
        </w:tc>
        <w:tc>
          <w:tcPr>
            <w:tcW w:w="995"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40"/>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Gab</w:t>
            </w:r>
          </w:p>
        </w:tc>
        <w:tc>
          <w:tcPr>
            <w:tcW w:w="992" w:type="dxa"/>
            <w:tcBorders>
              <w:top w:val="single" w:sz="4" w:space="0" w:color="auto"/>
              <w:left w:val="single" w:sz="4" w:space="0" w:color="auto"/>
              <w:bottom w:val="single" w:sz="4" w:space="0" w:color="auto"/>
              <w:right w:val="single" w:sz="4" w:space="0" w:color="auto"/>
            </w:tcBorders>
            <w:hideMark/>
          </w:tcPr>
          <w:p w:rsidR="003648DE" w:rsidRPr="003648DE" w:rsidRDefault="003648DE" w:rsidP="003648DE">
            <w:pPr>
              <w:spacing w:after="0"/>
              <w:ind w:left="33"/>
              <w:jc w:val="center"/>
              <w:rPr>
                <w:rFonts w:ascii="Times New Roman" w:eastAsia="Times New Roman" w:hAnsi="Times New Roman" w:cs="Times New Roman"/>
                <w:b/>
                <w:bCs/>
                <w:sz w:val="24"/>
                <w:szCs w:val="24"/>
                <w:lang w:eastAsia="ar-SA"/>
              </w:rPr>
            </w:pPr>
            <w:r w:rsidRPr="003648DE">
              <w:rPr>
                <w:rFonts w:ascii="Times New Roman" w:eastAsia="Times New Roman" w:hAnsi="Times New Roman" w:cs="Times New Roman"/>
                <w:b/>
                <w:bCs/>
                <w:lang w:eastAsia="ar-SA"/>
              </w:rPr>
              <w:t>30</w:t>
            </w:r>
          </w:p>
        </w:tc>
        <w:tc>
          <w:tcPr>
            <w:tcW w:w="3665" w:type="dxa"/>
            <w:tcBorders>
              <w:top w:val="single" w:sz="4" w:space="0" w:color="auto"/>
              <w:left w:val="single" w:sz="4" w:space="0" w:color="auto"/>
              <w:bottom w:val="single" w:sz="4" w:space="0" w:color="auto"/>
              <w:right w:val="single" w:sz="4" w:space="0" w:color="auto"/>
            </w:tcBorders>
          </w:tcPr>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Ietver vismaz:</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Virtuālās mācību vides simulēšanas iespēju, atbilstoši veicamajiem eksperimentiem, vismaz par šādām tēmām:</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Stūrēšanas sistēmas uzbūve un komponentes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Stūrēšanas ģeometrija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Riteņu pozicionēšana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Riteņu savirze</w:t>
            </w:r>
          </w:p>
          <w:p w:rsidR="003648DE" w:rsidRPr="003648DE" w:rsidRDefault="003648DE" w:rsidP="003648DE">
            <w:pPr>
              <w:suppressAutoHyphens/>
              <w:spacing w:before="280" w:after="28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Kustības trajektorija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Novietojums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Stūrēšanas pārnesums</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Stūres šarnīri</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Visu faktoru mērīšana un regulēšana</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Rezultātu analizēšana</w:t>
            </w:r>
          </w:p>
          <w:p w:rsidR="003648DE" w:rsidRPr="003648DE" w:rsidRDefault="003648DE" w:rsidP="003648DE">
            <w:pPr>
              <w:suppressAutoHyphens/>
              <w:spacing w:after="0"/>
              <w:ind w:left="34"/>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Zināšanu pārbaudes testi</w:t>
            </w:r>
          </w:p>
          <w:p w:rsidR="003648DE" w:rsidRPr="003648DE" w:rsidRDefault="003648DE" w:rsidP="003648DE">
            <w:pPr>
              <w:suppressAutoHyphens/>
              <w:spacing w:after="0"/>
              <w:rPr>
                <w:rFonts w:ascii="Times New Roman" w:eastAsia="Times New Roman" w:hAnsi="Times New Roman" w:cs="Times New Roman"/>
                <w:sz w:val="20"/>
                <w:szCs w:val="20"/>
                <w:lang w:eastAsia="ar-SA"/>
              </w:rPr>
            </w:pPr>
            <w:r w:rsidRPr="003648DE">
              <w:rPr>
                <w:rFonts w:ascii="Times New Roman" w:eastAsia="Times New Roman" w:hAnsi="Times New Roman" w:cs="Times New Roman"/>
                <w:sz w:val="20"/>
                <w:szCs w:val="20"/>
                <w:lang w:eastAsia="ar-SA"/>
              </w:rPr>
              <w:t>Kursa apjoms vismaz 3 stundas</w:t>
            </w:r>
          </w:p>
        </w:tc>
      </w:tr>
    </w:tbl>
    <w:p w:rsidR="003648DE" w:rsidRDefault="003648DE" w:rsidP="003648DE">
      <w:pPr>
        <w:spacing w:after="0" w:line="240" w:lineRule="auto"/>
        <w:ind w:left="720"/>
        <w:contextualSpacing/>
        <w:jc w:val="both"/>
        <w:rPr>
          <w:rFonts w:ascii="Times New Roman" w:eastAsia="Times New Roman" w:hAnsi="Times New Roman" w:cs="Times New Roman"/>
          <w:i/>
          <w:sz w:val="24"/>
          <w:szCs w:val="24"/>
          <w:lang w:eastAsia="lv-LV"/>
        </w:rPr>
      </w:pPr>
    </w:p>
    <w:p w:rsidR="001A6932" w:rsidRDefault="001A6932"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Izslēgt Iepirkuma procedūras nolikuma 3.pielikuma „Tehniskā specifikācija”</w:t>
      </w:r>
      <w:r w:rsidR="001D28E4">
        <w:rPr>
          <w:rFonts w:ascii="Times New Roman" w:eastAsia="Times New Roman" w:hAnsi="Times New Roman" w:cs="Times New Roman"/>
          <w:i/>
          <w:sz w:val="24"/>
          <w:szCs w:val="24"/>
          <w:lang w:eastAsia="lv-LV"/>
        </w:rPr>
        <w:t>51., 52., 53.</w:t>
      </w:r>
      <w:r w:rsidR="000C498B">
        <w:rPr>
          <w:rFonts w:ascii="Times New Roman" w:eastAsia="Times New Roman" w:hAnsi="Times New Roman" w:cs="Times New Roman"/>
          <w:i/>
          <w:sz w:val="24"/>
          <w:szCs w:val="24"/>
          <w:lang w:eastAsia="lv-LV"/>
        </w:rPr>
        <w:t xml:space="preserve">un </w:t>
      </w:r>
      <w:r w:rsidR="001D28E4">
        <w:rPr>
          <w:rFonts w:ascii="Times New Roman" w:eastAsia="Times New Roman" w:hAnsi="Times New Roman" w:cs="Times New Roman"/>
          <w:i/>
          <w:sz w:val="24"/>
          <w:szCs w:val="24"/>
          <w:lang w:eastAsia="lv-LV"/>
        </w:rPr>
        <w:t>54.</w:t>
      </w:r>
      <w:r w:rsidR="000C498B">
        <w:rPr>
          <w:rFonts w:ascii="Times New Roman" w:eastAsia="Times New Roman" w:hAnsi="Times New Roman" w:cs="Times New Roman"/>
          <w:i/>
          <w:sz w:val="24"/>
          <w:szCs w:val="24"/>
          <w:lang w:eastAsia="lv-LV"/>
        </w:rPr>
        <w:t>pozīciju.</w:t>
      </w:r>
    </w:p>
    <w:p w:rsidR="00424438" w:rsidRPr="00424438" w:rsidRDefault="00C7228C"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w:t>
      </w:r>
      <w:r w:rsidR="00424438" w:rsidRPr="00424438">
        <w:rPr>
          <w:rFonts w:ascii="Times New Roman" w:eastAsia="Times New Roman" w:hAnsi="Times New Roman" w:cs="Times New Roman"/>
          <w:i/>
          <w:sz w:val="24"/>
          <w:szCs w:val="24"/>
          <w:lang w:eastAsia="lv-LV"/>
        </w:rPr>
        <w:t>zteikt Iepirkuma procedūras nolikuma 3.pielikuma „Teh</w:t>
      </w:r>
      <w:r w:rsidR="00424438">
        <w:rPr>
          <w:rFonts w:ascii="Times New Roman" w:eastAsia="Times New Roman" w:hAnsi="Times New Roman" w:cs="Times New Roman"/>
          <w:i/>
          <w:sz w:val="24"/>
          <w:szCs w:val="24"/>
          <w:lang w:eastAsia="lv-LV"/>
        </w:rPr>
        <w:t>niskā</w:t>
      </w:r>
      <w:r w:rsidR="00424438" w:rsidRPr="00424438">
        <w:rPr>
          <w:rFonts w:ascii="Times New Roman" w:eastAsia="Times New Roman" w:hAnsi="Times New Roman" w:cs="Times New Roman"/>
          <w:i/>
          <w:sz w:val="24"/>
          <w:szCs w:val="24"/>
          <w:lang w:eastAsia="lv-LV"/>
        </w:rPr>
        <w:t xml:space="preserve"> specifikācija” sadaļas „Citas prasības”2.punktu šādā redakcijā:</w:t>
      </w:r>
    </w:p>
    <w:p w:rsidR="00424438" w:rsidRPr="00424438" w:rsidRDefault="00424438" w:rsidP="00424438">
      <w:pPr>
        <w:spacing w:after="0" w:line="240" w:lineRule="auto"/>
        <w:ind w:left="720"/>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„2. Pasūtītāja personāla apmācības vismaz pieciem darbiniekiem, kopējais apmācību ilgums ne mazāk kā 3 darba dienas, sertifikāta izsniegšana. Visām mācību programmām un instrukcijām jābūt latviešu valodā”.</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i/>
          <w:sz w:val="24"/>
          <w:szCs w:val="24"/>
          <w:lang w:eastAsia="lv-LV"/>
        </w:rPr>
        <w:t>Izteikt Iepirkuma procedūras nolikuma 5.pielikumu šādā redakcijā:</w:t>
      </w:r>
      <w:r w:rsidRPr="00424438">
        <w:rPr>
          <w:rFonts w:ascii="Times New Roman" w:eastAsia="Times New Roman" w:hAnsi="Times New Roman" w:cs="Times New Roman"/>
          <w:sz w:val="24"/>
          <w:szCs w:val="24"/>
          <w:lang w:eastAsia="lv-LV"/>
        </w:rPr>
        <w:br/>
        <w:t>„</w:t>
      </w:r>
      <w:r w:rsidRPr="00424438">
        <w:rPr>
          <w:rFonts w:ascii="Times New Roman" w:eastAsia="Times New Roman" w:hAnsi="Times New Roman" w:cs="Times New Roman"/>
          <w:b/>
          <w:bCs/>
          <w:sz w:val="24"/>
          <w:szCs w:val="24"/>
          <w:lang w:eastAsia="ar-SA"/>
        </w:rPr>
        <w:t>Pasūtītājs ir noteicis šādus garantiju veidus un attiecīgajā garantijā obligāti iekļaujamos nosacījumus un noteikumus:</w:t>
      </w:r>
    </w:p>
    <w:p w:rsidR="00424438" w:rsidRPr="00424438" w:rsidRDefault="00424438" w:rsidP="00424438">
      <w:pPr>
        <w:numPr>
          <w:ilvl w:val="0"/>
          <w:numId w:val="1"/>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b/>
          <w:sz w:val="24"/>
          <w:szCs w:val="24"/>
          <w:u w:val="single"/>
          <w:lang w:eastAsia="ar-SA"/>
        </w:rPr>
        <w:lastRenderedPageBreak/>
        <w:t>Līguma izpildes garantijai</w:t>
      </w:r>
      <w:r w:rsidRPr="00424438">
        <w:rPr>
          <w:rFonts w:ascii="Times New Roman" w:eastAsia="Times New Roman" w:hAnsi="Times New Roman" w:cs="Times New Roman"/>
          <w:sz w:val="24"/>
          <w:szCs w:val="24"/>
          <w:lang w:eastAsia="ar-SA"/>
        </w:rPr>
        <w:t xml:space="preserve"> jābūt kredītiestādes vai apdrošināšanas sabiedrības</w:t>
      </w:r>
      <w:r w:rsidRPr="00424438">
        <w:rPr>
          <w:rFonts w:ascii="Times New Roman" w:eastAsia="Times New Roman" w:hAnsi="Times New Roman" w:cs="Times New Roman"/>
          <w:bCs/>
          <w:sz w:val="24"/>
          <w:szCs w:val="24"/>
          <w:lang w:eastAsia="ar-SA"/>
        </w:rPr>
        <w:t>, kas ir tiesīga sniegt pakalpojumus Latvijas Republikā, izdotai garantijai. Garantijā obligāti jābūt iekļautiem šādiem noteikumiem un nosacījumiem:</w:t>
      </w:r>
    </w:p>
    <w:p w:rsidR="00424438" w:rsidRPr="00424438" w:rsidRDefault="00424438" w:rsidP="00424438">
      <w:pPr>
        <w:numPr>
          <w:ilvl w:val="1"/>
          <w:numId w:val="1"/>
        </w:numPr>
        <w:tabs>
          <w:tab w:val="num"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devējs apņemas samaksāt Pasūtītāja pieprasīto summu garantijas summas robežās, pēc pirmā rakstiskā Pasūtītāja pieprasījuma, kurā Pasūtītājs norādījis, ka Izpildītājs nav izpilījis noslēgtā līguma saistības;</w:t>
      </w:r>
    </w:p>
    <w:p w:rsidR="00424438" w:rsidRPr="00424438" w:rsidRDefault="00424438" w:rsidP="00424438">
      <w:pPr>
        <w:numPr>
          <w:ilvl w:val="1"/>
          <w:numId w:val="1"/>
        </w:numPr>
        <w:tabs>
          <w:tab w:val="num" w:pos="567"/>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devējs apņemas samaksāt Pasūtītājam visu garantijas summu, ja Izpildītājs nav pagarinājis šo garantiju līgumā noteiktajā termiņā un kārtībā;</w:t>
      </w:r>
    </w:p>
    <w:p w:rsidR="00424438" w:rsidRPr="00424438" w:rsidRDefault="00424438" w:rsidP="00424438">
      <w:pPr>
        <w:numPr>
          <w:ilvl w:val="1"/>
          <w:numId w:val="1"/>
        </w:numPr>
        <w:tabs>
          <w:tab w:val="num"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iCs/>
          <w:sz w:val="24"/>
          <w:szCs w:val="24"/>
          <w:lang w:eastAsia="ar-SA"/>
        </w:rPr>
        <w:t>garantija ir spēkā 10 (desmit) dienas pēc līgumā noteiktā Darba pabeigšanas datuma.</w:t>
      </w:r>
    </w:p>
    <w:p w:rsidR="00424438" w:rsidRPr="00424438" w:rsidRDefault="00424438" w:rsidP="00424438">
      <w:pPr>
        <w:numPr>
          <w:ilvl w:val="1"/>
          <w:numId w:val="1"/>
        </w:numPr>
        <w:tabs>
          <w:tab w:val="num" w:pos="567"/>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iCs/>
          <w:sz w:val="24"/>
          <w:szCs w:val="24"/>
          <w:lang w:eastAsia="ar-SA"/>
        </w:rPr>
        <w:t>garantijas summa ir 5 (pieci) % apmērā no līgumcenas bez PVN</w:t>
      </w:r>
      <w:r w:rsidRPr="00424438">
        <w:rPr>
          <w:rFonts w:ascii="Times New Roman" w:eastAsia="Times New Roman" w:hAnsi="Times New Roman" w:cs="Times New Roman"/>
          <w:sz w:val="24"/>
          <w:szCs w:val="24"/>
          <w:lang w:eastAsia="ar-SA"/>
        </w:rPr>
        <w:t xml:space="preserve"> attiecīgajā iepirkuma priekšmeta daļā</w:t>
      </w:r>
      <w:r w:rsidRPr="00424438">
        <w:rPr>
          <w:rFonts w:ascii="Times New Roman" w:eastAsia="Times New Roman" w:hAnsi="Times New Roman" w:cs="Times New Roman"/>
          <w:iCs/>
          <w:sz w:val="24"/>
          <w:szCs w:val="24"/>
          <w:lang w:eastAsia="ar-SA"/>
        </w:rPr>
        <w:t>;</w:t>
      </w:r>
    </w:p>
    <w:p w:rsidR="00424438" w:rsidRPr="00424438" w:rsidRDefault="00424438" w:rsidP="00424438">
      <w:pPr>
        <w:numPr>
          <w:ilvl w:val="1"/>
          <w:numId w:val="1"/>
        </w:numPr>
        <w:tabs>
          <w:tab w:val="num" w:pos="1134"/>
        </w:tabs>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 ir neatsaucama;</w:t>
      </w:r>
    </w:p>
    <w:p w:rsidR="00424438" w:rsidRPr="00424438" w:rsidRDefault="00424438" w:rsidP="00424438">
      <w:pPr>
        <w:numPr>
          <w:ilvl w:val="1"/>
          <w:numId w:val="1"/>
        </w:numPr>
        <w:tabs>
          <w:tab w:val="num" w:pos="567"/>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 xml:space="preserve">Pasūtītājam nav jāpieprasa garantijas summa no </w:t>
      </w:r>
      <w:r w:rsidRPr="00424438">
        <w:rPr>
          <w:rFonts w:ascii="Times New Roman" w:eastAsia="Times New Roman" w:hAnsi="Times New Roman" w:cs="Times New Roman"/>
          <w:iCs/>
          <w:sz w:val="24"/>
          <w:szCs w:val="24"/>
          <w:lang w:eastAsia="ar-SA"/>
        </w:rPr>
        <w:t>Izpildītāja</w:t>
      </w:r>
      <w:r w:rsidRPr="00424438">
        <w:rPr>
          <w:rFonts w:ascii="Times New Roman" w:eastAsia="Times New Roman" w:hAnsi="Times New Roman" w:cs="Times New Roman"/>
          <w:sz w:val="24"/>
          <w:szCs w:val="24"/>
          <w:lang w:eastAsia="ar-SA"/>
        </w:rPr>
        <w:t xml:space="preserve"> pirms prasības iesniegšanas garantijas devējam;</w:t>
      </w:r>
    </w:p>
    <w:p w:rsidR="00424438" w:rsidRPr="00424438" w:rsidRDefault="00424438" w:rsidP="00424438">
      <w:pPr>
        <w:numPr>
          <w:ilvl w:val="1"/>
          <w:numId w:val="1"/>
        </w:numPr>
        <w:tabs>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Kredītiestādes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424438" w:rsidRPr="00424438" w:rsidRDefault="00424438" w:rsidP="00424438">
      <w:pPr>
        <w:numPr>
          <w:ilvl w:val="0"/>
          <w:numId w:val="1"/>
        </w:numPr>
        <w:tabs>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b/>
          <w:sz w:val="24"/>
          <w:szCs w:val="24"/>
          <w:u w:val="single"/>
          <w:lang w:eastAsia="ar-SA"/>
        </w:rPr>
        <w:t>Avansa garantijai</w:t>
      </w:r>
      <w:r w:rsidRPr="00424438">
        <w:rPr>
          <w:rFonts w:ascii="Times New Roman" w:eastAsia="Times New Roman" w:hAnsi="Times New Roman" w:cs="Times New Roman"/>
          <w:sz w:val="24"/>
          <w:szCs w:val="24"/>
          <w:lang w:eastAsia="ar-SA"/>
        </w:rPr>
        <w:t xml:space="preserve"> jābūt kredītiestādes</w:t>
      </w:r>
      <w:r w:rsidRPr="00424438">
        <w:rPr>
          <w:rFonts w:ascii="Times New Roman" w:eastAsia="Times New Roman" w:hAnsi="Times New Roman" w:cs="Times New Roman"/>
          <w:bCs/>
          <w:sz w:val="24"/>
          <w:szCs w:val="24"/>
          <w:lang w:eastAsia="ar-SA"/>
        </w:rPr>
        <w:t>, kas ir tiesīga sniegt pakalpojumus Latvijas Republikā izdotai garantijai. Garantijā obligāti jābūt iekļautiem šādiem noteikumiem un nosacījumiem:</w:t>
      </w:r>
    </w:p>
    <w:p w:rsidR="00424438" w:rsidRPr="00424438" w:rsidRDefault="00424438" w:rsidP="00424438">
      <w:pPr>
        <w:numPr>
          <w:ilvl w:val="1"/>
          <w:numId w:val="1"/>
        </w:numPr>
        <w:tabs>
          <w:tab w:val="num" w:pos="567"/>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424438" w:rsidRPr="00424438" w:rsidRDefault="00424438" w:rsidP="00424438">
      <w:pPr>
        <w:numPr>
          <w:ilvl w:val="1"/>
          <w:numId w:val="1"/>
        </w:numPr>
        <w:tabs>
          <w:tab w:val="num" w:pos="567"/>
          <w:tab w:val="num" w:pos="1134"/>
        </w:tabs>
        <w:suppressAutoHyphens/>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summa ir vienāda ar avansa summu;</w:t>
      </w:r>
    </w:p>
    <w:p w:rsidR="00424438" w:rsidRPr="00424438" w:rsidRDefault="00424438" w:rsidP="00424438">
      <w:pPr>
        <w:numPr>
          <w:ilvl w:val="1"/>
          <w:numId w:val="1"/>
        </w:numPr>
        <w:tabs>
          <w:tab w:val="num" w:pos="567"/>
          <w:tab w:val="num" w:pos="1134"/>
        </w:tabs>
        <w:suppressAutoHyphens/>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summu var samazināt atbilstoši atmaksātajai avansa summai, atskaitot to no Izpildītāja izrakstītajos rēķinos minētajām summām;</w:t>
      </w:r>
    </w:p>
    <w:p w:rsidR="00424438" w:rsidRPr="00424438" w:rsidRDefault="00424438" w:rsidP="00424438">
      <w:pPr>
        <w:numPr>
          <w:ilvl w:val="1"/>
          <w:numId w:val="1"/>
        </w:numPr>
        <w:tabs>
          <w:tab w:val="num" w:pos="567"/>
          <w:tab w:val="num" w:pos="1134"/>
        </w:tabs>
        <w:suppressAutoHyphens/>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 jābūt spēkā no avansa maksājuma datuma līdz laikam, kad Izpildītājs paredzējis pilnībā atmaksāt avansa summu un vēl 28 dienas;</w:t>
      </w:r>
    </w:p>
    <w:p w:rsidR="00424438" w:rsidRPr="00424438" w:rsidRDefault="00424438" w:rsidP="00424438">
      <w:pPr>
        <w:numPr>
          <w:ilvl w:val="1"/>
          <w:numId w:val="1"/>
        </w:numPr>
        <w:tabs>
          <w:tab w:val="num" w:pos="567"/>
          <w:tab w:val="num" w:pos="1134"/>
        </w:tabs>
        <w:suppressAutoHyphens/>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 ir neatsaucama;</w:t>
      </w:r>
    </w:p>
    <w:p w:rsidR="00424438" w:rsidRPr="00424438" w:rsidRDefault="00424438" w:rsidP="00424438">
      <w:pPr>
        <w:numPr>
          <w:ilvl w:val="1"/>
          <w:numId w:val="1"/>
        </w:numPr>
        <w:tabs>
          <w:tab w:val="num" w:pos="567"/>
          <w:tab w:val="num" w:pos="1134"/>
        </w:tabs>
        <w:suppressAutoHyphens/>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 xml:space="preserve">Pasūtītājam nav jāpieprasa garantijas summa no </w:t>
      </w:r>
      <w:r w:rsidRPr="00424438">
        <w:rPr>
          <w:rFonts w:ascii="Times New Roman" w:eastAsia="Times New Roman" w:hAnsi="Times New Roman" w:cs="Times New Roman"/>
          <w:iCs/>
          <w:sz w:val="24"/>
          <w:szCs w:val="24"/>
          <w:lang w:eastAsia="ar-SA"/>
        </w:rPr>
        <w:t>Izpildītāja</w:t>
      </w:r>
      <w:r w:rsidRPr="00424438">
        <w:rPr>
          <w:rFonts w:ascii="Times New Roman" w:eastAsia="Times New Roman" w:hAnsi="Times New Roman" w:cs="Times New Roman"/>
          <w:sz w:val="24"/>
          <w:szCs w:val="24"/>
          <w:lang w:eastAsia="ar-SA"/>
        </w:rPr>
        <w:t xml:space="preserve"> pirms prasības iesniegšanas garantijas devējam;</w:t>
      </w:r>
    </w:p>
    <w:p w:rsidR="00C41403" w:rsidRDefault="00424438" w:rsidP="00C41403">
      <w:pPr>
        <w:numPr>
          <w:ilvl w:val="1"/>
          <w:numId w:val="1"/>
        </w:numPr>
        <w:tabs>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C41403" w:rsidRPr="00C41403" w:rsidRDefault="00C41403" w:rsidP="00C41403">
      <w:pPr>
        <w:suppressAutoHyphens/>
        <w:autoSpaceDE w:val="0"/>
        <w:autoSpaceDN w:val="0"/>
        <w:adjustRightInd w:val="0"/>
        <w:spacing w:after="0" w:line="240" w:lineRule="auto"/>
        <w:ind w:left="1560"/>
        <w:jc w:val="both"/>
        <w:rPr>
          <w:rFonts w:ascii="Times New Roman" w:eastAsia="Times New Roman" w:hAnsi="Times New Roman" w:cs="Times New Roman"/>
          <w:i/>
          <w:sz w:val="24"/>
          <w:szCs w:val="24"/>
          <w:u w:val="single"/>
          <w:lang w:eastAsia="ar-SA"/>
        </w:rPr>
      </w:pPr>
      <w:r w:rsidRPr="00C41403">
        <w:rPr>
          <w:rFonts w:ascii="Times New Roman" w:eastAsia="Times New Roman" w:hAnsi="Times New Roman" w:cs="Times New Roman"/>
          <w:i/>
          <w:sz w:val="24"/>
          <w:szCs w:val="24"/>
          <w:u w:val="single"/>
          <w:lang w:eastAsia="ar-SA"/>
        </w:rPr>
        <w:lastRenderedPageBreak/>
        <w:t>Avansa garantija jāiesniedz, ja pretendents līguma izpildes laikā pieprasīs avansa maksājumu.</w:t>
      </w:r>
    </w:p>
    <w:p w:rsidR="00424438" w:rsidRPr="00424438" w:rsidRDefault="00424438" w:rsidP="00424438">
      <w:pPr>
        <w:numPr>
          <w:ilvl w:val="0"/>
          <w:numId w:val="1"/>
        </w:numPr>
        <w:tabs>
          <w:tab w:val="num" w:pos="1134"/>
        </w:tabs>
        <w:suppressAutoHyphens/>
        <w:autoSpaceDE w:val="0"/>
        <w:autoSpaceDN w:val="0"/>
        <w:adjustRightInd w:val="0"/>
        <w:spacing w:after="0" w:line="240" w:lineRule="auto"/>
        <w:ind w:left="1560"/>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b/>
          <w:sz w:val="24"/>
          <w:szCs w:val="24"/>
          <w:u w:val="single"/>
          <w:lang w:eastAsia="ar-SA"/>
        </w:rPr>
        <w:t>Garantijas laika garantija</w:t>
      </w:r>
      <w:r w:rsidRPr="00424438">
        <w:rPr>
          <w:rFonts w:ascii="Times New Roman" w:eastAsia="Times New Roman" w:hAnsi="Times New Roman" w:cs="Times New Roman"/>
          <w:sz w:val="24"/>
          <w:szCs w:val="24"/>
          <w:lang w:eastAsia="ar-SA"/>
        </w:rPr>
        <w:t xml:space="preserve"> jāiesniedz 10 (desmit) dienu laikā pēc tam, kad Pasūtītājs ir parakstījis Aktu par Preču pieņemšanu ekspluatācijā un tai jābūt kredītiestādes vai apdrošināšanas sabiedrības</w:t>
      </w:r>
      <w:r w:rsidRPr="00424438">
        <w:rPr>
          <w:rFonts w:ascii="Times New Roman" w:eastAsia="Times New Roman" w:hAnsi="Times New Roman" w:cs="Times New Roman"/>
          <w:bCs/>
          <w:sz w:val="24"/>
          <w:szCs w:val="24"/>
          <w:lang w:eastAsia="ar-SA"/>
        </w:rPr>
        <w:t>, kas ir tiesīga sniegt pakalpojumus Latvijas Republikā, izdotai garantijai. Garantijā obligāti jābūt iekļautiem šādiem noteikumiem un nosacījumiem:</w:t>
      </w:r>
    </w:p>
    <w:p w:rsidR="00424438" w:rsidRPr="00424438" w:rsidRDefault="00424438" w:rsidP="00424438">
      <w:pPr>
        <w:numPr>
          <w:ilvl w:val="2"/>
          <w:numId w:val="1"/>
        </w:numPr>
        <w:tabs>
          <w:tab w:val="num" w:pos="1134"/>
        </w:tabs>
        <w:suppressAutoHyphens/>
        <w:autoSpaceDE w:val="0"/>
        <w:autoSpaceDN w:val="0"/>
        <w:adjustRightInd w:val="0"/>
        <w:spacing w:after="0" w:line="240" w:lineRule="auto"/>
        <w:ind w:left="1560" w:hanging="39"/>
        <w:contextualSpacing/>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devējs apņemas samaksāt Pasūtītājam garantijas summu defektu novēršanas izmaksu apmērā, ja Izpildītājs nepilda līgumā noteiktās garantijas saistības;</w:t>
      </w:r>
    </w:p>
    <w:p w:rsidR="00424438" w:rsidRPr="00424438" w:rsidRDefault="00424438" w:rsidP="00424438">
      <w:pPr>
        <w:numPr>
          <w:ilvl w:val="2"/>
          <w:numId w:val="1"/>
        </w:numPr>
        <w:tabs>
          <w:tab w:val="num" w:pos="1560"/>
        </w:tabs>
        <w:suppressAutoHyphens/>
        <w:autoSpaceDE w:val="0"/>
        <w:autoSpaceDN w:val="0"/>
        <w:adjustRightInd w:val="0"/>
        <w:spacing w:after="0" w:line="240" w:lineRule="auto"/>
        <w:ind w:left="1560" w:hanging="39"/>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garantijas summa ir 2 (divu) % apmērā no līgumcenas bez PVN;</w:t>
      </w:r>
    </w:p>
    <w:p w:rsidR="00424438" w:rsidRPr="00424438" w:rsidRDefault="00424438" w:rsidP="00424438">
      <w:pPr>
        <w:numPr>
          <w:ilvl w:val="2"/>
          <w:numId w:val="1"/>
        </w:numPr>
        <w:tabs>
          <w:tab w:val="num" w:pos="1560"/>
        </w:tabs>
        <w:suppressAutoHyphens/>
        <w:autoSpaceDE w:val="0"/>
        <w:autoSpaceDN w:val="0"/>
        <w:adjustRightInd w:val="0"/>
        <w:spacing w:after="0" w:line="240" w:lineRule="auto"/>
        <w:ind w:left="1560" w:hanging="39"/>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 ir spēkā visā garantijas termiņa laikā;</w:t>
      </w:r>
    </w:p>
    <w:p w:rsidR="00424438" w:rsidRPr="00424438" w:rsidRDefault="00424438" w:rsidP="00424438">
      <w:pPr>
        <w:numPr>
          <w:ilvl w:val="2"/>
          <w:numId w:val="1"/>
        </w:numPr>
        <w:tabs>
          <w:tab w:val="num" w:pos="1560"/>
        </w:tabs>
        <w:suppressAutoHyphens/>
        <w:autoSpaceDE w:val="0"/>
        <w:autoSpaceDN w:val="0"/>
        <w:adjustRightInd w:val="0"/>
        <w:spacing w:after="0" w:line="240" w:lineRule="auto"/>
        <w:ind w:left="1560" w:hanging="39"/>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garantija ir neatsaucama;</w:t>
      </w:r>
    </w:p>
    <w:p w:rsidR="00424438" w:rsidRPr="00424438" w:rsidRDefault="00424438" w:rsidP="00424438">
      <w:pPr>
        <w:numPr>
          <w:ilvl w:val="2"/>
          <w:numId w:val="1"/>
        </w:numPr>
        <w:tabs>
          <w:tab w:val="num" w:pos="1560"/>
        </w:tabs>
        <w:suppressAutoHyphens/>
        <w:autoSpaceDE w:val="0"/>
        <w:autoSpaceDN w:val="0"/>
        <w:adjustRightInd w:val="0"/>
        <w:spacing w:after="0" w:line="240" w:lineRule="auto"/>
        <w:ind w:left="1560" w:hanging="39"/>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 xml:space="preserve">Pasūtītājam nav jāpieprasa garantijas summa no </w:t>
      </w:r>
      <w:r w:rsidRPr="00424438">
        <w:rPr>
          <w:rFonts w:ascii="Times New Roman" w:eastAsia="Times New Roman" w:hAnsi="Times New Roman" w:cs="Times New Roman"/>
          <w:iCs/>
          <w:sz w:val="24"/>
          <w:szCs w:val="24"/>
          <w:lang w:eastAsia="ar-SA"/>
        </w:rPr>
        <w:t>Izpildītāja</w:t>
      </w:r>
      <w:r w:rsidRPr="00424438">
        <w:rPr>
          <w:rFonts w:ascii="Times New Roman" w:eastAsia="Times New Roman" w:hAnsi="Times New Roman" w:cs="Times New Roman"/>
          <w:sz w:val="24"/>
          <w:szCs w:val="24"/>
          <w:lang w:eastAsia="ar-SA"/>
        </w:rPr>
        <w:t xml:space="preserve"> pirms prasības iesniegšanas garantijas devējam;</w:t>
      </w:r>
    </w:p>
    <w:p w:rsidR="00424438" w:rsidRPr="00424438" w:rsidRDefault="00424438" w:rsidP="00424438">
      <w:pPr>
        <w:numPr>
          <w:ilvl w:val="2"/>
          <w:numId w:val="1"/>
        </w:numPr>
        <w:tabs>
          <w:tab w:val="num" w:pos="1560"/>
        </w:tabs>
        <w:suppressAutoHyphens/>
        <w:autoSpaceDE w:val="0"/>
        <w:autoSpaceDN w:val="0"/>
        <w:adjustRightInd w:val="0"/>
        <w:spacing w:after="0" w:line="240" w:lineRule="auto"/>
        <w:ind w:left="1560" w:hanging="39"/>
        <w:jc w:val="both"/>
        <w:rPr>
          <w:rFonts w:ascii="Times New Roman" w:eastAsia="Times New Roman" w:hAnsi="Times New Roman" w:cs="Times New Roman"/>
          <w:sz w:val="24"/>
          <w:szCs w:val="24"/>
          <w:lang w:eastAsia="ar-SA"/>
        </w:rPr>
      </w:pPr>
      <w:r w:rsidRPr="00424438">
        <w:rPr>
          <w:rFonts w:ascii="Times New Roman" w:eastAsia="Times New Roman" w:hAnsi="Times New Roman" w:cs="Times New Roman"/>
          <w:sz w:val="24"/>
          <w:szCs w:val="24"/>
          <w:lang w:eastAsia="ar-SA"/>
        </w:rPr>
        <w:t>Kredīstiestādes 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sz w:val="24"/>
          <w:szCs w:val="24"/>
          <w:lang w:eastAsia="lv-LV"/>
        </w:rPr>
        <w:t xml:space="preserve"> </w:t>
      </w:r>
      <w:r w:rsidRPr="00424438">
        <w:rPr>
          <w:rFonts w:ascii="Times New Roman" w:eastAsia="Times New Roman" w:hAnsi="Times New Roman" w:cs="Times New Roman"/>
          <w:i/>
          <w:sz w:val="24"/>
          <w:szCs w:val="24"/>
          <w:lang w:eastAsia="lv-LV"/>
        </w:rPr>
        <w:t>Izteikt Iepirkuma procedūras nolikuma 6.pielikumu „Iepirkuma līguma projekts” 2.4.1.punktu šādā redakcijā:</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„2.4.1. Priekšapmaksu 20 (divdesmit) procentu apmērā no līguma summas ar PVN Pasūtītājs samaksā Izpildītājam 30 dienu laikā pēc avansa rēķina un avansa garantijas iesniegšanas (Izpildītājs var nepieprasīt avansu. Ja avanss netiek pieprasīts, līguma 2.4.2.punktā noteiktā apmaksa pēc Preces piegādes tiek palielināta par nepieprasītā avansa apmēru).</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2.4.4. punktu šādā redakcijā:</w:t>
      </w:r>
    </w:p>
    <w:p w:rsidR="00424438" w:rsidRPr="00424438" w:rsidRDefault="00424438" w:rsidP="00424438">
      <w:pPr>
        <w:spacing w:after="0" w:line="240" w:lineRule="auto"/>
        <w:ind w:left="1134"/>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„2.4.4. Atlikušos 5 (piecus) procentus no Līguma summas Pasūtītājs apmaksā pēc visu Preču piegādes un kredītiestādes vai apdrošināšanas sabiedrības izsniegta garantijas laika nodrošinājuma atbilstoši Līguma 2.pielikuma noteikumiem saņemšanas”.</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6.pielikuma „Iepirkuma īguma projekts”3.1.punktu šādā redakcijā:</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„3.1. Izpildītājs Preces Piegādi veic &lt;dienu skaits (dienu skaits vārdiem) atbilstoši Nolikuma 6.2.punktam&gt; dienu laikā no Līguma noslēgšanas dienas un rakstiska Pasūtītāja pieprasījuma, Preču piegādi saskaņojot ar Pasūtītāju”.</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6.pielikuma „Iepirkuma līguma projekts” 3.5.punktu:</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i/>
          <w:sz w:val="24"/>
          <w:szCs w:val="24"/>
          <w:lang w:eastAsia="lv-LV"/>
        </w:rPr>
        <w:t>„</w:t>
      </w:r>
      <w:r w:rsidRPr="00424438">
        <w:rPr>
          <w:rFonts w:ascii="Times New Roman" w:eastAsia="Times New Roman" w:hAnsi="Times New Roman" w:cs="Times New Roman"/>
          <w:sz w:val="24"/>
          <w:szCs w:val="24"/>
          <w:lang w:eastAsia="lv-LV"/>
        </w:rPr>
        <w:t>3.5. Līgums stājas spēkā pēc abpusējas parakstīšanas un nolikuma prasībām atbilstošas līguma izpildes spējas garantijas saņemšanas”.</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6.pielikuma „Iepirkuma līguma projekts” 7.2.punktu šādā redakcijā:</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lastRenderedPageBreak/>
        <w:t>„7.2. Precēm to ekspluatācijas vietā garantijas laiks ir &lt;skaits mēnešos - garantijas laiks tiek noteikts atbilstoši Tehnisko specifikāciju prasībām&gt; no Preces Piegādes Akta</w:t>
      </w:r>
      <w:r w:rsidR="004E53EE">
        <w:rPr>
          <w:rFonts w:ascii="Times New Roman" w:eastAsia="Times New Roman" w:hAnsi="Times New Roman" w:cs="Times New Roman"/>
          <w:sz w:val="24"/>
          <w:szCs w:val="24"/>
          <w:lang w:eastAsia="lv-LV"/>
        </w:rPr>
        <w:t xml:space="preserve"> abpusējas parakstīšanas dienas</w:t>
      </w:r>
      <w:r w:rsidRPr="00424438">
        <w:rPr>
          <w:rFonts w:ascii="Times New Roman" w:eastAsia="Times New Roman" w:hAnsi="Times New Roman" w:cs="Times New Roman"/>
          <w:sz w:val="24"/>
          <w:szCs w:val="24"/>
          <w:lang w:eastAsia="lv-LV"/>
        </w:rPr>
        <w:t>”.</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6.pielikuma „Iepirkuma līguma projekts” 4.7.punktu šādā redakcijā:</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„4.7. Ja Pasūtītājs ir konstatējis Preču neatbilstības, tas ir tiesīgs pieaicināt ekspertu, lai novērtētu Preču atbilstību Līgumam, un, ja eksperta slēdziens apstiprina par pamatotu Pasūtītāja viedokli, Izpildītājs ne tikai novērš konstatētos trūkumus Pušu saskaņotā termiņā, bet ja Puses nespēj vienoties, ne vēlāk kā 30 (trīsdesmit) darba dienu laikā, bet arī Pasūtītāja noteiktajā termiņā un kārtībā sedz eksperta pieaicināšanas izmaksas, ko Pasūtītājs regresa kārtībā piedzen no Izpildītāja”.</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i/>
          <w:sz w:val="24"/>
          <w:szCs w:val="24"/>
          <w:lang w:eastAsia="lv-LV"/>
        </w:rPr>
      </w:pPr>
      <w:r w:rsidRPr="00424438">
        <w:rPr>
          <w:rFonts w:ascii="Times New Roman" w:eastAsia="Times New Roman" w:hAnsi="Times New Roman" w:cs="Times New Roman"/>
          <w:i/>
          <w:sz w:val="24"/>
          <w:szCs w:val="24"/>
          <w:lang w:eastAsia="lv-LV"/>
        </w:rPr>
        <w:t>Izteikt Iepirkuma procedūras nolikuma 6.pielikuma „Iepirkuma līguma projekts” 11.6.1.punktu šādā redakcijā:</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„11.6.1. ja Izpildītājs nav iesniedzis Pasūtītājam Līguma izpildes garantiju Līgumā noteiktajā termiņā”.</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i/>
          <w:sz w:val="24"/>
          <w:szCs w:val="24"/>
          <w:lang w:eastAsia="lv-LV"/>
        </w:rPr>
        <w:t>Izteikt Iepirkuma procedūras nolikuma 6.pielikumam „Iepirkuma līguma projekts” pievienotā „Iekārtu nodošanas-pieņemšanas akta veidlapa” 1.punktu šādā redakcijā</w:t>
      </w:r>
      <w:r w:rsidRPr="00424438">
        <w:rPr>
          <w:rFonts w:ascii="Times New Roman" w:eastAsia="Times New Roman" w:hAnsi="Times New Roman" w:cs="Times New Roman"/>
          <w:sz w:val="24"/>
          <w:szCs w:val="24"/>
          <w:lang w:eastAsia="lv-LV"/>
        </w:rPr>
        <w:t>:</w:t>
      </w:r>
    </w:p>
    <w:p w:rsidR="00424438" w:rsidRPr="00424438" w:rsidRDefault="00424438" w:rsidP="00424438">
      <w:pPr>
        <w:spacing w:after="0" w:line="240" w:lineRule="auto"/>
        <w:ind w:left="1080"/>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„1.</w:t>
      </w:r>
      <w:r w:rsidRPr="00424438">
        <w:rPr>
          <w:rFonts w:ascii="Times New Roman" w:eastAsia="Times New Roman" w:hAnsi="Times New Roman" w:cs="Times New Roman"/>
          <w:sz w:val="24"/>
          <w:szCs w:val="24"/>
          <w:lang w:eastAsia="lv-LV"/>
        </w:rPr>
        <w:tab/>
        <w:t>Izpildītājs iekārtas kopā ar to uzglabāšanas noteikumiem un lietošanas instrukcijām latviešu/angļu/krievu valodā ir piegādājis šādā Pasūtītāja noteiktajā adresē -________________, Jelgava”.</w:t>
      </w:r>
    </w:p>
    <w:p w:rsidR="00424438" w:rsidRPr="00424438" w:rsidRDefault="00424438" w:rsidP="00424438">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Aizstāt Iepirkuma procedūras nolikumā skaitļa un vārda savienojumu „</w:t>
      </w:r>
      <w:r w:rsidR="00152426">
        <w:rPr>
          <w:rFonts w:ascii="Times New Roman" w:eastAsia="Times New Roman" w:hAnsi="Times New Roman" w:cs="Times New Roman"/>
          <w:sz w:val="24"/>
          <w:szCs w:val="24"/>
          <w:lang w:eastAsia="lv-LV"/>
        </w:rPr>
        <w:t xml:space="preserve">2014.gada </w:t>
      </w:r>
      <w:r w:rsidRPr="00424438">
        <w:rPr>
          <w:rFonts w:ascii="Times New Roman" w:eastAsia="Times New Roman" w:hAnsi="Times New Roman" w:cs="Times New Roman"/>
          <w:sz w:val="24"/>
          <w:szCs w:val="24"/>
          <w:lang w:eastAsia="lv-LV"/>
        </w:rPr>
        <w:t>15.decembris” jebkurā locījumā ar skaitļa un vārda savienojumu „</w:t>
      </w:r>
      <w:r w:rsidR="000956C7">
        <w:rPr>
          <w:rFonts w:ascii="Times New Roman" w:eastAsia="Times New Roman" w:hAnsi="Times New Roman" w:cs="Times New Roman"/>
          <w:sz w:val="24"/>
          <w:szCs w:val="24"/>
          <w:lang w:eastAsia="lv-LV"/>
        </w:rPr>
        <w:t>2015.gada 05.janvāris</w:t>
      </w:r>
      <w:r w:rsidRPr="00424438">
        <w:rPr>
          <w:rFonts w:ascii="Times New Roman" w:eastAsia="Times New Roman" w:hAnsi="Times New Roman" w:cs="Times New Roman"/>
          <w:sz w:val="24"/>
          <w:szCs w:val="24"/>
          <w:lang w:eastAsia="lv-LV"/>
        </w:rPr>
        <w:t>” attiecīgā locījumā.</w:t>
      </w:r>
    </w:p>
    <w:p w:rsidR="00424438" w:rsidRPr="00424438" w:rsidRDefault="00424438" w:rsidP="00424438">
      <w:pPr>
        <w:spacing w:after="0" w:line="240" w:lineRule="auto"/>
        <w:jc w:val="both"/>
        <w:rPr>
          <w:rFonts w:ascii="Times New Roman" w:eastAsia="Times New Roman" w:hAnsi="Times New Roman" w:cs="Times New Roman"/>
          <w:sz w:val="24"/>
          <w:szCs w:val="24"/>
          <w:lang w:eastAsia="lv-LV"/>
        </w:rPr>
      </w:pPr>
    </w:p>
    <w:p w:rsidR="00424438" w:rsidRPr="00424438" w:rsidRDefault="00424438" w:rsidP="00424438">
      <w:pPr>
        <w:spacing w:after="0" w:line="240" w:lineRule="auto"/>
        <w:jc w:val="both"/>
        <w:rPr>
          <w:rFonts w:ascii="Times New Roman" w:eastAsia="Times New Roman" w:hAnsi="Times New Roman" w:cs="Times New Roman"/>
          <w:sz w:val="24"/>
          <w:szCs w:val="24"/>
          <w:lang w:eastAsia="lv-LV"/>
        </w:rPr>
      </w:pPr>
      <w:r w:rsidRPr="00424438">
        <w:rPr>
          <w:rFonts w:ascii="Times New Roman" w:eastAsia="Times New Roman" w:hAnsi="Times New Roman" w:cs="Times New Roman"/>
          <w:sz w:val="24"/>
          <w:szCs w:val="24"/>
          <w:lang w:eastAsia="lv-LV"/>
        </w:rPr>
        <w:t>Iepirkuma komisija lūdz ieinteresētos piegādātājus ņemt vērā šajā punktā minēto informāciju, sagatavojot savu piedāvājumu Iepirkuma procedūrai.</w:t>
      </w:r>
      <w:bookmarkStart w:id="0" w:name="_GoBack"/>
      <w:bookmarkEnd w:id="0"/>
    </w:p>
    <w:tbl>
      <w:tblPr>
        <w:tblW w:w="9747" w:type="dxa"/>
        <w:tblLayout w:type="fixed"/>
        <w:tblLook w:val="01E0" w:firstRow="1" w:lastRow="1" w:firstColumn="1" w:lastColumn="1" w:noHBand="0" w:noVBand="0"/>
      </w:tblPr>
      <w:tblGrid>
        <w:gridCol w:w="6228"/>
        <w:gridCol w:w="3519"/>
      </w:tblGrid>
      <w:tr w:rsidR="00424438" w:rsidRPr="00424438" w:rsidTr="009958C1">
        <w:tc>
          <w:tcPr>
            <w:tcW w:w="6228" w:type="dxa"/>
          </w:tcPr>
          <w:p w:rsidR="00424438" w:rsidRPr="00424438" w:rsidRDefault="00424438" w:rsidP="00424438">
            <w:pPr>
              <w:spacing w:after="0" w:line="240" w:lineRule="auto"/>
              <w:jc w:val="right"/>
              <w:rPr>
                <w:rFonts w:ascii="Times New Roman" w:eastAsia="Times New Roman" w:hAnsi="Times New Roman" w:cs="Times New Roman"/>
                <w:sz w:val="24"/>
                <w:szCs w:val="24"/>
                <w:u w:val="single"/>
                <w:lang w:eastAsia="lv-LV"/>
              </w:rPr>
            </w:pPr>
          </w:p>
        </w:tc>
        <w:tc>
          <w:tcPr>
            <w:tcW w:w="3519" w:type="dxa"/>
            <w:vAlign w:val="bottom"/>
          </w:tcPr>
          <w:p w:rsidR="00424438" w:rsidRPr="00424438" w:rsidRDefault="00424438" w:rsidP="00424438">
            <w:pPr>
              <w:spacing w:after="0" w:line="240" w:lineRule="auto"/>
              <w:jc w:val="right"/>
              <w:rPr>
                <w:rFonts w:ascii="Times New Roman" w:eastAsia="Times New Roman" w:hAnsi="Times New Roman" w:cs="Times New Roman"/>
                <w:sz w:val="24"/>
                <w:szCs w:val="24"/>
                <w:lang w:eastAsia="lv-LV"/>
              </w:rPr>
            </w:pPr>
          </w:p>
        </w:tc>
      </w:tr>
      <w:tr w:rsidR="00424438" w:rsidRPr="00424438" w:rsidTr="009958C1">
        <w:tc>
          <w:tcPr>
            <w:tcW w:w="6228" w:type="dxa"/>
          </w:tcPr>
          <w:p w:rsidR="00424438" w:rsidRPr="00424438" w:rsidRDefault="00424438" w:rsidP="00424438">
            <w:pPr>
              <w:spacing w:after="0" w:line="240" w:lineRule="auto"/>
              <w:jc w:val="right"/>
              <w:rPr>
                <w:rFonts w:ascii="Times New Roman" w:eastAsia="Times New Roman" w:hAnsi="Times New Roman" w:cs="Times New Roman"/>
                <w:sz w:val="24"/>
                <w:szCs w:val="24"/>
                <w:u w:val="single"/>
                <w:lang w:eastAsia="lv-LV"/>
              </w:rPr>
            </w:pPr>
          </w:p>
        </w:tc>
        <w:tc>
          <w:tcPr>
            <w:tcW w:w="3519" w:type="dxa"/>
            <w:vAlign w:val="bottom"/>
          </w:tcPr>
          <w:p w:rsidR="00424438" w:rsidRPr="00424438" w:rsidRDefault="00424438" w:rsidP="00424438">
            <w:pPr>
              <w:spacing w:after="0" w:line="240" w:lineRule="auto"/>
              <w:jc w:val="right"/>
              <w:outlineLvl w:val="0"/>
              <w:rPr>
                <w:rFonts w:ascii="Times New Roman" w:eastAsia="Times New Roman" w:hAnsi="Times New Roman" w:cs="Times New Roman"/>
                <w:sz w:val="24"/>
                <w:szCs w:val="24"/>
                <w:lang w:eastAsia="lv-LV"/>
              </w:rPr>
            </w:pPr>
          </w:p>
        </w:tc>
      </w:tr>
    </w:tbl>
    <w:p w:rsidR="0040359C" w:rsidRDefault="00424438">
      <w:r w:rsidRPr="00424438">
        <w:rPr>
          <w:rFonts w:ascii="Times New Roman" w:eastAsia="Cambria" w:hAnsi="Times New Roman" w:cs="Times New Roman"/>
          <w:sz w:val="24"/>
          <w:szCs w:val="24"/>
        </w:rPr>
        <w:t>Iepirkuma komisijas priekšsēdētāja</w:t>
      </w:r>
      <w:r w:rsidRPr="00424438">
        <w:rPr>
          <w:rFonts w:ascii="Times New Roman" w:eastAsia="Cambria" w:hAnsi="Times New Roman" w:cs="Times New Roman"/>
          <w:sz w:val="24"/>
          <w:szCs w:val="24"/>
        </w:rPr>
        <w:tab/>
      </w:r>
      <w:r w:rsidRPr="00424438">
        <w:rPr>
          <w:rFonts w:ascii="Times New Roman" w:eastAsia="Cambria" w:hAnsi="Times New Roman" w:cs="Times New Roman"/>
          <w:sz w:val="24"/>
          <w:szCs w:val="24"/>
        </w:rPr>
        <w:tab/>
      </w:r>
      <w:r w:rsidRPr="00424438">
        <w:rPr>
          <w:rFonts w:ascii="Times New Roman" w:eastAsia="Cambria" w:hAnsi="Times New Roman" w:cs="Times New Roman"/>
          <w:sz w:val="24"/>
          <w:szCs w:val="24"/>
        </w:rPr>
        <w:tab/>
      </w:r>
      <w:r w:rsidRPr="00424438">
        <w:rPr>
          <w:rFonts w:ascii="Times New Roman" w:eastAsia="Cambria" w:hAnsi="Times New Roman" w:cs="Times New Roman"/>
          <w:sz w:val="24"/>
          <w:szCs w:val="24"/>
        </w:rPr>
        <w:tab/>
      </w:r>
      <w:r w:rsidRPr="00424438">
        <w:rPr>
          <w:rFonts w:ascii="Times New Roman" w:eastAsia="Cambria" w:hAnsi="Times New Roman" w:cs="Times New Roman"/>
          <w:sz w:val="24"/>
          <w:szCs w:val="24"/>
        </w:rPr>
        <w:tab/>
      </w:r>
      <w:r w:rsidRPr="00424438">
        <w:rPr>
          <w:rFonts w:ascii="Times New Roman" w:eastAsia="Cambria" w:hAnsi="Times New Roman" w:cs="Times New Roman"/>
          <w:sz w:val="24"/>
          <w:szCs w:val="24"/>
        </w:rPr>
        <w:tab/>
        <w:t>J.Rudzīte</w:t>
      </w:r>
    </w:p>
    <w:sectPr w:rsidR="004035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
    <w:nsid w:val="0A895E08"/>
    <w:multiLevelType w:val="hybridMultilevel"/>
    <w:tmpl w:val="63FE5DB6"/>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45911F3"/>
    <w:multiLevelType w:val="multilevel"/>
    <w:tmpl w:val="A9141106"/>
    <w:lvl w:ilvl="0">
      <w:start w:val="13"/>
      <w:numFmt w:val="decimal"/>
      <w:lvlText w:val="%1."/>
      <w:lvlJc w:val="left"/>
      <w:pPr>
        <w:ind w:left="660" w:hanging="660"/>
      </w:pPr>
      <w:rPr>
        <w:rFonts w:hint="default"/>
        <w:b w:val="0"/>
      </w:rPr>
    </w:lvl>
    <w:lvl w:ilvl="1">
      <w:start w:val="2"/>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58487941"/>
    <w:multiLevelType w:val="hybridMultilevel"/>
    <w:tmpl w:val="259C1804"/>
    <w:lvl w:ilvl="0" w:tplc="BAD8A01C">
      <w:start w:val="1"/>
      <w:numFmt w:val="decimal"/>
      <w:lvlText w:val="%1)"/>
      <w:lvlJc w:val="left"/>
      <w:pPr>
        <w:ind w:left="720" w:hanging="360"/>
      </w:pPr>
      <w:rPr>
        <w:rFonts w:hint="default"/>
        <w:b/>
        <w:u w:val="single"/>
      </w:rPr>
    </w:lvl>
    <w:lvl w:ilvl="1" w:tplc="04260019">
      <w:start w:val="1"/>
      <w:numFmt w:val="lowerLetter"/>
      <w:lvlText w:val="%2."/>
      <w:lvlJc w:val="left"/>
      <w:pPr>
        <w:ind w:left="1440" w:hanging="360"/>
      </w:pPr>
    </w:lvl>
    <w:lvl w:ilvl="2" w:tplc="9E76BE4A">
      <w:start w:val="1"/>
      <w:numFmt w:val="lowerLetter"/>
      <w:lvlText w:val="%3."/>
      <w:lvlJc w:val="right"/>
      <w:pPr>
        <w:ind w:left="1315" w:hanging="180"/>
      </w:pPr>
      <w:rPr>
        <w:rFonts w:ascii="Times New Roman" w:eastAsia="Times New Roman" w:hAnsi="Times New Roman" w:cs="Times New Roman"/>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A1431C9"/>
    <w:multiLevelType w:val="hybridMultilevel"/>
    <w:tmpl w:val="2E92E45C"/>
    <w:lvl w:ilvl="0" w:tplc="F6E67E64">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5">
    <w:nsid w:val="7C594126"/>
    <w:multiLevelType w:val="multilevel"/>
    <w:tmpl w:val="39083280"/>
    <w:lvl w:ilvl="0">
      <w:start w:val="13"/>
      <w:numFmt w:val="decimal"/>
      <w:lvlText w:val="%1"/>
      <w:lvlJc w:val="left"/>
      <w:pPr>
        <w:ind w:left="600" w:hanging="600"/>
      </w:pPr>
      <w:rPr>
        <w:rFonts w:hint="default"/>
        <w:b w:val="0"/>
      </w:rPr>
    </w:lvl>
    <w:lvl w:ilvl="1">
      <w:start w:val="2"/>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38"/>
    <w:rsid w:val="000956C7"/>
    <w:rsid w:val="000A570D"/>
    <w:rsid w:val="000C498B"/>
    <w:rsid w:val="00152426"/>
    <w:rsid w:val="001A6932"/>
    <w:rsid w:val="001C3F05"/>
    <w:rsid w:val="001D28E4"/>
    <w:rsid w:val="003648DE"/>
    <w:rsid w:val="0040359C"/>
    <w:rsid w:val="00424438"/>
    <w:rsid w:val="004E53EE"/>
    <w:rsid w:val="0053640A"/>
    <w:rsid w:val="007B4688"/>
    <w:rsid w:val="009B4945"/>
    <w:rsid w:val="00C41403"/>
    <w:rsid w:val="00C7228C"/>
    <w:rsid w:val="00E645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8658</Words>
  <Characters>4936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NB7</dc:creator>
  <cp:lastModifiedBy>Uģis_Cvir</cp:lastModifiedBy>
  <cp:revision>2</cp:revision>
  <dcterms:created xsi:type="dcterms:W3CDTF">2014-12-05T12:26:00Z</dcterms:created>
  <dcterms:modified xsi:type="dcterms:W3CDTF">2014-12-05T12:26:00Z</dcterms:modified>
</cp:coreProperties>
</file>